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b/>
          <w:bCs/>
          <w:sz w:val="48"/>
          <w:szCs w:val="48"/>
        </w:rPr>
      </w:pPr>
      <w:bookmarkStart w:id="3" w:name="_GoBack"/>
      <w:bookmarkEnd w:id="3"/>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b/>
          <w:bCs/>
          <w:sz w:val="48"/>
          <w:szCs w:val="4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b/>
          <w:bCs/>
          <w:sz w:val="48"/>
          <w:szCs w:val="4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b/>
          <w:bCs/>
          <w:sz w:val="48"/>
          <w:szCs w:val="48"/>
        </w:rPr>
      </w:pP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苏卫疾控便函〔2021〕16号</w:t>
      </w:r>
    </w:p>
    <w:p>
      <w:pPr>
        <w:keepNext w:val="0"/>
        <w:keepLines w:val="0"/>
        <w:pageBreakBefore w:val="0"/>
        <w:widowControl w:val="0"/>
        <w:wordWrap/>
        <w:topLinePunct w:val="0"/>
        <w:autoSpaceDE/>
        <w:autoSpaceDN/>
        <w:bidi w:val="0"/>
        <w:adjustRightInd/>
        <w:snapToGrid/>
        <w:spacing w:line="560" w:lineRule="exact"/>
        <w:jc w:val="right"/>
        <w:textAlignment w:val="auto"/>
        <w:rPr>
          <w:rFonts w:hint="default" w:ascii="方正仿宋_GBK" w:hAnsi="方正仿宋_GBK" w:eastAsia="方正仿宋_GBK" w:cs="方正仿宋_GBK"/>
          <w:sz w:val="32"/>
          <w:szCs w:val="32"/>
          <w:lang w:val="en-US" w:eastAsia="zh-CN"/>
        </w:rPr>
      </w:pPr>
    </w:p>
    <w:p>
      <w:pPr>
        <w:keepNext w:val="0"/>
        <w:keepLines w:val="0"/>
        <w:pageBreakBefore w:val="0"/>
        <w:widowControl w:val="0"/>
        <w:wordWrap/>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rPr>
        <w:t>关于印发《江苏省营养餐厅（食堂）</w:t>
      </w:r>
      <w:r>
        <w:rPr>
          <w:rFonts w:hint="eastAsia" w:ascii="方正小标宋简体" w:hAnsi="方正小标宋简体" w:eastAsia="方正小标宋简体" w:cs="方正小标宋简体"/>
          <w:b w:val="0"/>
          <w:bCs w:val="0"/>
          <w:sz w:val="44"/>
          <w:szCs w:val="44"/>
          <w:lang w:eastAsia="zh-CN"/>
        </w:rPr>
        <w:t>建设</w:t>
      </w:r>
    </w:p>
    <w:p>
      <w:pPr>
        <w:keepNext w:val="0"/>
        <w:keepLines w:val="0"/>
        <w:pageBreakBefore w:val="0"/>
        <w:widowControl w:val="0"/>
        <w:wordWrap/>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rPr>
        <w:t>工作方案》的</w:t>
      </w:r>
      <w:r>
        <w:rPr>
          <w:rFonts w:hint="eastAsia" w:ascii="方正小标宋简体" w:hAnsi="方正小标宋简体" w:eastAsia="方正小标宋简体" w:cs="方正小标宋简体"/>
          <w:b w:val="0"/>
          <w:bCs w:val="0"/>
          <w:sz w:val="44"/>
          <w:szCs w:val="44"/>
          <w:lang w:val="en-US" w:eastAsia="zh-CN"/>
        </w:rPr>
        <w:t>通知</w:t>
      </w:r>
    </w:p>
    <w:p>
      <w:pPr>
        <w:keepNext w:val="0"/>
        <w:keepLines w:val="0"/>
        <w:pageBreakBefore w:val="0"/>
        <w:widowControl w:val="0"/>
        <w:wordWrap/>
        <w:topLinePunct w:val="0"/>
        <w:autoSpaceDE/>
        <w:autoSpaceDN/>
        <w:bidi w:val="0"/>
        <w:adjustRightInd/>
        <w:snapToGrid/>
        <w:spacing w:line="560" w:lineRule="exact"/>
        <w:textAlignment w:val="auto"/>
        <w:rPr>
          <w:sz w:val="30"/>
          <w:szCs w:val="30"/>
        </w:rPr>
      </w:pPr>
    </w:p>
    <w:p>
      <w:pPr>
        <w:keepNext w:val="0"/>
        <w:keepLines w:val="0"/>
        <w:pageBreakBefore w:val="0"/>
        <w:widowControl w:val="0"/>
        <w:wordWrap/>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各市卫生健康委，省疾病预防控制中心、各设区市疾病预防控制中心、江苏省营养学会、江苏省餐饮行业协会：</w:t>
      </w:r>
    </w:p>
    <w:p>
      <w:pPr>
        <w:keepNext w:val="0"/>
        <w:keepLines w:val="0"/>
        <w:pageBreakBefore w:val="0"/>
        <w:widowControl w:val="0"/>
        <w:wordWrap/>
        <w:topLinePunct w:val="0"/>
        <w:autoSpaceDE/>
        <w:autoSpaceDN/>
        <w:bidi w:val="0"/>
        <w:adjustRightInd/>
        <w:snapToGrid/>
        <w:spacing w:line="560" w:lineRule="exact"/>
        <w:ind w:firstLine="624" w:firstLineChars="200"/>
        <w:textAlignment w:val="auto"/>
        <w:rPr>
          <w:rFonts w:hint="eastAsia" w:ascii="方正仿宋_GBK" w:hAnsi="方正仿宋_GBK" w:eastAsia="方正仿宋_GBK" w:cs="方正仿宋_GBK"/>
          <w:sz w:val="32"/>
          <w:szCs w:val="32"/>
        </w:rPr>
      </w:pPr>
      <w:r>
        <w:rPr>
          <w:rFonts w:hint="eastAsia" w:ascii="方正仿宋简体" w:hAnsi="方正仿宋简体" w:eastAsia="方正仿宋简体" w:cs="方正仿宋简体"/>
          <w:spacing w:val="-4"/>
          <w:kern w:val="0"/>
          <w:sz w:val="32"/>
          <w:szCs w:val="32"/>
          <w:lang w:val="en-US" w:eastAsia="zh-CN" w:bidi="ar-SA"/>
        </w:rPr>
        <w:t>为贯彻落实《“健康中国2030”规划纲要》、《“健康江苏2030”规划纲要》、《国民营养计划（2017-2030年）》、《江苏省国民营养计划实施方案（2018—2030）》和《推进健康江苏建设2020年重点工作任务》的要求，开展健康烹饪模式与营养均衡配餐的示范推广，推进江苏省营养餐厅（食堂）的建设工作，现将《江苏省营养餐厅（食堂）建设工作方案》印发给你们</w:t>
      </w:r>
      <w:r>
        <w:rPr>
          <w:rFonts w:hint="eastAsia" w:ascii="方正仿宋_GBK" w:hAnsi="方正仿宋_GBK" w:eastAsia="方正仿宋_GBK" w:cs="方正仿宋_GBK"/>
          <w:sz w:val="32"/>
          <w:szCs w:val="32"/>
        </w:rPr>
        <w:t>。</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方正仿宋_GBK" w:hAnsi="方正仿宋_GBK" w:eastAsia="方正仿宋_GBK" w:cs="方正仿宋_GBK"/>
          <w:sz w:val="32"/>
          <w:szCs w:val="32"/>
        </w:rPr>
      </w:pP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ab/>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江苏省卫生健康委</w:t>
      </w:r>
      <w:r>
        <w:rPr>
          <w:rFonts w:hint="eastAsia" w:ascii="方正仿宋_GBK" w:hAnsi="方正仿宋_GBK" w:eastAsia="方正仿宋_GBK" w:cs="方正仿宋_GBK"/>
          <w:sz w:val="32"/>
          <w:szCs w:val="32"/>
          <w:lang w:val="en-US" w:eastAsia="zh-CN"/>
        </w:rPr>
        <w:t>疾控处</w:t>
      </w:r>
      <w:r>
        <w:rPr>
          <w:rFonts w:hint="eastAsia" w:ascii="方正仿宋_GBK" w:hAnsi="方正仿宋_GBK" w:eastAsia="方正仿宋_GBK" w:cs="方正仿宋_GBK"/>
          <w:sz w:val="32"/>
          <w:szCs w:val="32"/>
        </w:rPr>
        <w:t xml:space="preserve">                                        </w:t>
      </w:r>
    </w:p>
    <w:p>
      <w:pPr>
        <w:keepNext w:val="0"/>
        <w:keepLines w:val="0"/>
        <w:pageBreakBefore w:val="0"/>
        <w:widowControl w:val="0"/>
        <w:wordWrap/>
        <w:topLinePunct w:val="0"/>
        <w:autoSpaceDE/>
        <w:autoSpaceDN/>
        <w:bidi w:val="0"/>
        <w:adjustRightInd/>
        <w:snapToGrid/>
        <w:spacing w:line="560" w:lineRule="exact"/>
        <w:ind w:firstLine="5440" w:firstLineChars="17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2021年</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30</w:t>
      </w:r>
      <w:r>
        <w:rPr>
          <w:rFonts w:hint="eastAsia" w:ascii="方正仿宋_GBK" w:hAnsi="方正仿宋_GBK" w:eastAsia="方正仿宋_GBK" w:cs="方正仿宋_GBK"/>
          <w:sz w:val="32"/>
          <w:szCs w:val="32"/>
        </w:rPr>
        <w:t>日</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方正仿宋_GBK" w:hAnsi="方正仿宋_GBK" w:eastAsia="方正仿宋_GBK" w:cs="方正仿宋_GBK"/>
          <w:sz w:val="32"/>
          <w:szCs w:val="32"/>
          <w:lang w:val="en-US" w:eastAsia="zh-CN"/>
        </w:rPr>
        <w:sectPr>
          <w:headerReference r:id="rId3" w:type="default"/>
          <w:footerReference r:id="rId5" w:type="default"/>
          <w:headerReference r:id="rId4" w:type="even"/>
          <w:pgSz w:w="11900" w:h="16820"/>
          <w:pgMar w:top="1440" w:right="1797" w:bottom="1440" w:left="1797" w:header="720" w:footer="720" w:gutter="0"/>
          <w:pgNumType w:fmt="numberInDash"/>
          <w:cols w:space="720" w:num="1"/>
        </w:sectPr>
      </w:pPr>
      <w:r>
        <w:rPr>
          <w:rFonts w:hint="eastAsia" w:ascii="方正仿宋_GBK" w:hAnsi="方正仿宋_GBK" w:eastAsia="方正仿宋_GBK" w:cs="方正仿宋_GBK"/>
          <w:sz w:val="32"/>
          <w:szCs w:val="32"/>
          <w:lang w:val="en-US" w:eastAsia="zh-CN"/>
        </w:rPr>
        <w:t xml:space="preserve"> </w:t>
      </w:r>
    </w:p>
    <w:p>
      <w:pPr>
        <w:tabs>
          <w:tab w:val="left" w:pos="4760"/>
        </w:tabs>
      </w:pPr>
    </w:p>
    <w:p>
      <w:pPr>
        <w:pStyle w:val="4"/>
        <w:widowControl w:val="0"/>
        <w:spacing w:before="0" w:beforeAutospacing="0" w:after="0" w:afterAutospacing="0" w:line="360" w:lineRule="auto"/>
        <w:jc w:val="center"/>
        <w:rPr>
          <w:rFonts w:hint="eastAsia" w:ascii="方正小标宋简体" w:hAnsi="方正小标宋简体" w:eastAsia="方正小标宋简体" w:cs="方正小标宋简体"/>
          <w:b w:val="0"/>
          <w:bCs w:val="0"/>
          <w:spacing w:val="-4"/>
          <w:sz w:val="44"/>
          <w:szCs w:val="44"/>
        </w:rPr>
      </w:pPr>
      <w:r>
        <w:rPr>
          <w:rFonts w:hint="eastAsia" w:ascii="方正小标宋简体" w:hAnsi="方正小标宋简体" w:eastAsia="方正小标宋简体" w:cs="方正小标宋简体"/>
          <w:b w:val="0"/>
          <w:bCs w:val="0"/>
          <w:spacing w:val="-4"/>
          <w:sz w:val="44"/>
          <w:szCs w:val="44"/>
        </w:rPr>
        <w:t>江苏省营养餐厅（食堂）</w:t>
      </w:r>
      <w:r>
        <w:rPr>
          <w:rFonts w:hint="eastAsia" w:ascii="方正小标宋简体" w:hAnsi="方正小标宋简体" w:eastAsia="方正小标宋简体" w:cs="方正小标宋简体"/>
          <w:b w:val="0"/>
          <w:bCs w:val="0"/>
          <w:spacing w:val="-4"/>
          <w:sz w:val="44"/>
          <w:szCs w:val="44"/>
          <w:lang w:eastAsia="zh-CN"/>
        </w:rPr>
        <w:t>建设</w:t>
      </w:r>
      <w:r>
        <w:rPr>
          <w:rFonts w:hint="eastAsia" w:ascii="方正小标宋简体" w:hAnsi="方正小标宋简体" w:eastAsia="方正小标宋简体" w:cs="方正小标宋简体"/>
          <w:b w:val="0"/>
          <w:bCs w:val="0"/>
          <w:spacing w:val="-4"/>
          <w:sz w:val="44"/>
          <w:szCs w:val="44"/>
        </w:rPr>
        <w:t>工作方案</w:t>
      </w:r>
    </w:p>
    <w:p>
      <w:pPr>
        <w:pStyle w:val="4"/>
        <w:widowControl w:val="0"/>
        <w:spacing w:before="0" w:beforeAutospacing="0" w:after="0" w:afterAutospacing="0" w:line="360" w:lineRule="auto"/>
        <w:ind w:firstLine="624" w:firstLineChars="200"/>
        <w:rPr>
          <w:rFonts w:ascii="仿宋" w:hAnsi="仿宋" w:eastAsia="仿宋" w:cs="黑体"/>
          <w:spacing w:val="-4"/>
          <w:sz w:val="32"/>
          <w:szCs w:val="32"/>
        </w:rPr>
      </w:pP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24" w:firstLineChars="200"/>
        <w:textAlignment w:val="auto"/>
        <w:rPr>
          <w:rFonts w:hint="eastAsia" w:ascii="方正仿宋简体" w:hAnsi="方正仿宋简体" w:eastAsia="方正仿宋简体" w:cs="方正仿宋简体"/>
          <w:spacing w:val="-4"/>
          <w:sz w:val="32"/>
          <w:szCs w:val="32"/>
        </w:rPr>
      </w:pPr>
      <w:r>
        <w:rPr>
          <w:rFonts w:hint="eastAsia" w:ascii="方正仿宋简体" w:hAnsi="方正仿宋简体" w:eastAsia="方正仿宋简体" w:cs="方正仿宋简体"/>
          <w:spacing w:val="-4"/>
          <w:sz w:val="32"/>
          <w:szCs w:val="32"/>
        </w:rPr>
        <w:t>根据《“健康中国2030”规划纲要》《“健康江苏2030”规划纲要》《国民营养计划（2017-2030年）》《江苏省国民营养计划实施方案（2018—2030）》和《推进健康江苏建设2020年重点工作任务》的要求，为进一步有序推进营养餐厅（食堂）</w:t>
      </w:r>
      <w:r>
        <w:rPr>
          <w:rFonts w:hint="eastAsia" w:ascii="方正仿宋简体" w:hAnsi="方正仿宋简体" w:eastAsia="方正仿宋简体" w:cs="方正仿宋简体"/>
          <w:spacing w:val="-4"/>
          <w:sz w:val="32"/>
          <w:szCs w:val="32"/>
          <w:lang w:eastAsia="zh-CN"/>
        </w:rPr>
        <w:t>建设</w:t>
      </w:r>
      <w:r>
        <w:rPr>
          <w:rFonts w:hint="eastAsia" w:ascii="方正仿宋简体" w:hAnsi="方正仿宋简体" w:eastAsia="方正仿宋简体" w:cs="方正仿宋简体"/>
          <w:spacing w:val="-4"/>
          <w:sz w:val="32"/>
          <w:szCs w:val="32"/>
        </w:rPr>
        <w:t>工作，现将江苏省营养餐厅（食堂）</w:t>
      </w:r>
      <w:r>
        <w:rPr>
          <w:rFonts w:hint="eastAsia" w:ascii="方正仿宋简体" w:hAnsi="方正仿宋简体" w:eastAsia="方正仿宋简体" w:cs="方正仿宋简体"/>
          <w:spacing w:val="-4"/>
          <w:sz w:val="32"/>
          <w:szCs w:val="32"/>
          <w:lang w:eastAsia="zh-CN"/>
        </w:rPr>
        <w:t>建设</w:t>
      </w:r>
      <w:r>
        <w:rPr>
          <w:rFonts w:hint="eastAsia" w:ascii="方正仿宋简体" w:hAnsi="方正仿宋简体" w:eastAsia="方正仿宋简体" w:cs="方正仿宋简体"/>
          <w:spacing w:val="-4"/>
          <w:sz w:val="32"/>
          <w:szCs w:val="32"/>
        </w:rPr>
        <w:t>工作方案通知如下，请遵照执行。</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黑体_GBK" w:hAnsi="方正黑体_GBK" w:eastAsia="方正黑体_GBK" w:cs="方正黑体_GBK"/>
          <w:spacing w:val="-4"/>
          <w:sz w:val="32"/>
          <w:szCs w:val="32"/>
          <w:lang w:val="en-US" w:eastAsia="zh-CN"/>
        </w:rPr>
      </w:pPr>
      <w:r>
        <w:rPr>
          <w:rFonts w:hint="eastAsia" w:ascii="方正黑体_GBK" w:hAnsi="方正黑体_GBK" w:eastAsia="方正黑体_GBK" w:cs="方正黑体_GBK"/>
          <w:spacing w:val="-4"/>
          <w:sz w:val="32"/>
          <w:szCs w:val="32"/>
          <w:lang w:val="en-US" w:eastAsia="zh-CN"/>
        </w:rPr>
        <w:t>一、建设目标</w:t>
      </w:r>
    </w:p>
    <w:p>
      <w:pPr>
        <w:keepNext w:val="0"/>
        <w:keepLines w:val="0"/>
        <w:pageBreakBefore w:val="0"/>
        <w:widowControl w:val="0"/>
        <w:kinsoku/>
        <w:wordWrap/>
        <w:overflowPunct/>
        <w:topLinePunct w:val="0"/>
        <w:autoSpaceDE/>
        <w:autoSpaceDN/>
        <w:bidi w:val="0"/>
        <w:adjustRightInd/>
        <w:snapToGrid/>
        <w:spacing w:line="560" w:lineRule="exact"/>
        <w:ind w:firstLine="608"/>
        <w:textAlignment w:val="auto"/>
        <w:rPr>
          <w:rFonts w:ascii="仿宋" w:hAnsi="仿宋" w:eastAsia="仿宋" w:cs="Times New Roman"/>
          <w:spacing w:val="-4"/>
          <w:sz w:val="32"/>
          <w:szCs w:val="22"/>
        </w:rPr>
      </w:pPr>
      <w:r>
        <w:rPr>
          <w:rFonts w:hint="eastAsia" w:ascii="方正仿宋简体" w:hAnsi="方正仿宋简体" w:eastAsia="方正仿宋简体" w:cs="方正仿宋简体"/>
          <w:spacing w:val="-4"/>
          <w:kern w:val="0"/>
          <w:sz w:val="32"/>
          <w:szCs w:val="32"/>
          <w:lang w:val="en-US" w:eastAsia="zh-CN" w:bidi="ar-SA"/>
        </w:rPr>
        <w:t>围绕国民营养计划，开展营养餐厅（食堂）建设工作。推广健康烹饪模式与营养均衡配餐，倡导科学合理配餐，适应消费者安全、营养、健康的需求。</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黑体_GBK" w:hAnsi="方正黑体_GBK" w:eastAsia="方正黑体_GBK" w:cs="方正黑体_GBK"/>
          <w:spacing w:val="-4"/>
          <w:sz w:val="32"/>
          <w:szCs w:val="32"/>
          <w:lang w:val="en-US" w:eastAsia="zh-CN"/>
        </w:rPr>
      </w:pPr>
      <w:r>
        <w:rPr>
          <w:rFonts w:hint="eastAsia" w:ascii="方正黑体_GBK" w:hAnsi="方正黑体_GBK" w:eastAsia="方正黑体_GBK" w:cs="方正黑体_GBK"/>
          <w:spacing w:val="-4"/>
          <w:sz w:val="32"/>
          <w:szCs w:val="32"/>
          <w:lang w:val="en-US" w:eastAsia="zh-CN"/>
        </w:rPr>
        <w:t>二、建设范围</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24" w:firstLineChars="200"/>
        <w:textAlignment w:val="auto"/>
        <w:rPr>
          <w:rFonts w:hint="eastAsia" w:ascii="方正仿宋简体" w:hAnsi="方正仿宋简体" w:eastAsia="方正仿宋简体" w:cs="方正仿宋简体"/>
          <w:spacing w:val="-4"/>
          <w:sz w:val="32"/>
          <w:szCs w:val="32"/>
        </w:rPr>
      </w:pPr>
      <w:r>
        <w:rPr>
          <w:rFonts w:hint="eastAsia" w:ascii="方正仿宋简体" w:hAnsi="方正仿宋简体" w:eastAsia="方正仿宋简体" w:cs="方正仿宋简体"/>
          <w:spacing w:val="-4"/>
          <w:sz w:val="32"/>
          <w:szCs w:val="32"/>
        </w:rPr>
        <w:t>营养餐厅（食堂）</w:t>
      </w:r>
      <w:r>
        <w:rPr>
          <w:rFonts w:hint="eastAsia" w:ascii="方正仿宋简体" w:hAnsi="方正仿宋简体" w:eastAsia="方正仿宋简体" w:cs="方正仿宋简体"/>
          <w:spacing w:val="-4"/>
          <w:sz w:val="32"/>
          <w:szCs w:val="32"/>
          <w:lang w:eastAsia="zh-CN"/>
        </w:rPr>
        <w:t>建设</w:t>
      </w:r>
      <w:r>
        <w:rPr>
          <w:rFonts w:hint="eastAsia" w:ascii="方正仿宋简体" w:hAnsi="方正仿宋简体" w:eastAsia="方正仿宋简体" w:cs="方正仿宋简体"/>
          <w:spacing w:val="-4"/>
          <w:sz w:val="32"/>
          <w:szCs w:val="32"/>
        </w:rPr>
        <w:t>工作在全省范围内开展，各设区市、县（市、区）的集中供餐食堂或餐饮服务单位均可参与</w:t>
      </w:r>
      <w:r>
        <w:rPr>
          <w:rFonts w:hint="eastAsia" w:ascii="方正仿宋简体" w:hAnsi="方正仿宋简体" w:eastAsia="方正仿宋简体" w:cs="方正仿宋简体"/>
          <w:spacing w:val="-4"/>
          <w:sz w:val="32"/>
          <w:szCs w:val="32"/>
          <w:lang w:eastAsia="zh-CN"/>
        </w:rPr>
        <w:t>建设</w:t>
      </w:r>
      <w:r>
        <w:rPr>
          <w:rFonts w:hint="eastAsia" w:ascii="方正仿宋简体" w:hAnsi="方正仿宋简体" w:eastAsia="方正仿宋简体" w:cs="方正仿宋简体"/>
          <w:spacing w:val="-4"/>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黑体_GBK" w:hAnsi="方正黑体_GBK" w:eastAsia="方正黑体_GBK" w:cs="方正黑体_GBK"/>
          <w:spacing w:val="-4"/>
          <w:sz w:val="32"/>
          <w:szCs w:val="32"/>
          <w:lang w:val="en-US" w:eastAsia="zh-CN"/>
        </w:rPr>
      </w:pPr>
      <w:r>
        <w:rPr>
          <w:rFonts w:hint="eastAsia" w:ascii="方正黑体_GBK" w:hAnsi="方正黑体_GBK" w:eastAsia="方正黑体_GBK" w:cs="方正黑体_GBK"/>
          <w:spacing w:val="-4"/>
          <w:sz w:val="32"/>
          <w:szCs w:val="32"/>
          <w:lang w:val="en-US" w:eastAsia="zh-CN"/>
        </w:rPr>
        <w:t>三、建设要求</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24" w:firstLineChars="200"/>
        <w:textAlignment w:val="auto"/>
        <w:rPr>
          <w:rFonts w:hint="eastAsia" w:ascii="方正仿宋简体" w:hAnsi="方正仿宋简体" w:eastAsia="方正仿宋简体" w:cs="方正仿宋简体"/>
          <w:spacing w:val="-4"/>
          <w:sz w:val="32"/>
          <w:szCs w:val="32"/>
        </w:rPr>
      </w:pPr>
      <w:r>
        <w:rPr>
          <w:rFonts w:hint="eastAsia" w:ascii="方正仿宋简体" w:hAnsi="方正仿宋简体" w:eastAsia="方正仿宋简体" w:cs="方正仿宋简体"/>
          <w:spacing w:val="-4"/>
          <w:sz w:val="32"/>
          <w:szCs w:val="32"/>
        </w:rPr>
        <w:t>营养餐厅（食堂）</w:t>
      </w:r>
      <w:r>
        <w:rPr>
          <w:rFonts w:hint="eastAsia" w:ascii="方正仿宋简体" w:hAnsi="方正仿宋简体" w:eastAsia="方正仿宋简体" w:cs="方正仿宋简体"/>
          <w:spacing w:val="-4"/>
          <w:sz w:val="32"/>
          <w:szCs w:val="32"/>
          <w:lang w:eastAsia="zh-CN"/>
        </w:rPr>
        <w:t>建设</w:t>
      </w:r>
      <w:r>
        <w:rPr>
          <w:rFonts w:hint="eastAsia" w:ascii="方正仿宋简体" w:hAnsi="方正仿宋简体" w:eastAsia="方正仿宋简体" w:cs="方正仿宋简体"/>
          <w:spacing w:val="-4"/>
          <w:sz w:val="32"/>
          <w:szCs w:val="32"/>
        </w:rPr>
        <w:t>可选择集中供餐单位为试点，根据不同人群的健康需要，推行“减盐、减油、减糖”三减措施，营造健康生活方式支持环境，普及健康生活方式相关知识，提供营养健康指导，培养就餐者健康意识和健康行为能力，最终提高健康生活水平。要求各设区市每年至少</w:t>
      </w:r>
      <w:r>
        <w:rPr>
          <w:rFonts w:hint="eastAsia" w:ascii="方正仿宋简体" w:hAnsi="方正仿宋简体" w:eastAsia="方正仿宋简体" w:cs="方正仿宋简体"/>
          <w:spacing w:val="-4"/>
          <w:sz w:val="32"/>
          <w:szCs w:val="32"/>
          <w:lang w:eastAsia="zh-CN"/>
        </w:rPr>
        <w:t>建设</w:t>
      </w:r>
      <w:r>
        <w:rPr>
          <w:rFonts w:hint="eastAsia" w:ascii="方正仿宋简体" w:hAnsi="方正仿宋简体" w:eastAsia="方正仿宋简体" w:cs="方正仿宋简体"/>
          <w:spacing w:val="-4"/>
          <w:sz w:val="32"/>
          <w:szCs w:val="32"/>
        </w:rPr>
        <w:t>1家营养餐厅（食堂）。</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黑体_GBK" w:hAnsi="方正黑体_GBK" w:eastAsia="方正黑体_GBK" w:cs="方正黑体_GBK"/>
          <w:spacing w:val="-4"/>
          <w:sz w:val="32"/>
          <w:szCs w:val="32"/>
          <w:lang w:val="en-US" w:eastAsia="zh-CN"/>
        </w:rPr>
      </w:pPr>
      <w:r>
        <w:rPr>
          <w:rFonts w:hint="eastAsia" w:ascii="方正黑体_GBK" w:hAnsi="方正黑体_GBK" w:eastAsia="方正黑体_GBK" w:cs="方正黑体_GBK"/>
          <w:spacing w:val="-4"/>
          <w:sz w:val="32"/>
          <w:szCs w:val="32"/>
          <w:lang w:val="en-US" w:eastAsia="zh-CN"/>
        </w:rPr>
        <w:t>四、建设内容</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24" w:firstLineChars="200"/>
        <w:textAlignment w:val="auto"/>
        <w:rPr>
          <w:rFonts w:hint="eastAsia" w:ascii="方正仿宋简体" w:hAnsi="方正仿宋简体" w:eastAsia="方正仿宋简体" w:cs="方正仿宋简体"/>
          <w:spacing w:val="-4"/>
          <w:sz w:val="32"/>
          <w:szCs w:val="32"/>
        </w:rPr>
      </w:pPr>
      <w:r>
        <w:rPr>
          <w:rFonts w:hint="eastAsia" w:ascii="方正仿宋简体" w:hAnsi="方正仿宋简体" w:eastAsia="方正仿宋简体" w:cs="方正仿宋简体"/>
          <w:spacing w:val="-4"/>
          <w:sz w:val="32"/>
          <w:szCs w:val="32"/>
        </w:rPr>
        <w:t>参与营养餐厅（食堂）</w:t>
      </w:r>
      <w:r>
        <w:rPr>
          <w:rFonts w:hint="eastAsia" w:ascii="方正仿宋简体" w:hAnsi="方正仿宋简体" w:eastAsia="方正仿宋简体" w:cs="方正仿宋简体"/>
          <w:spacing w:val="-4"/>
          <w:sz w:val="32"/>
          <w:szCs w:val="32"/>
          <w:lang w:eastAsia="zh-CN"/>
        </w:rPr>
        <w:t>建设</w:t>
      </w:r>
      <w:r>
        <w:rPr>
          <w:rFonts w:hint="eastAsia" w:ascii="方正仿宋简体" w:hAnsi="方正仿宋简体" w:eastAsia="方正仿宋简体" w:cs="方正仿宋简体"/>
          <w:spacing w:val="-4"/>
          <w:sz w:val="32"/>
          <w:szCs w:val="32"/>
        </w:rPr>
        <w:t>单位应取得《食品经营许可证》，经食品安全监管部门认定符合餐饮服务食品安全监督量化分级良好等级以上的基本要求。并且根据《营养餐厅规范》（见附件）的具体要求，从环境、人员、菜肴营养、油盐糖用量及烹调、营养标识、建设效果评价等各方面开展营养餐厅（食堂）</w:t>
      </w:r>
      <w:r>
        <w:rPr>
          <w:rFonts w:hint="eastAsia" w:ascii="方正仿宋简体" w:hAnsi="方正仿宋简体" w:eastAsia="方正仿宋简体" w:cs="方正仿宋简体"/>
          <w:spacing w:val="-4"/>
          <w:sz w:val="32"/>
          <w:szCs w:val="32"/>
          <w:lang w:eastAsia="zh-CN"/>
        </w:rPr>
        <w:t>建设</w:t>
      </w:r>
      <w:r>
        <w:rPr>
          <w:rFonts w:hint="eastAsia" w:ascii="方正仿宋简体" w:hAnsi="方正仿宋简体" w:eastAsia="方正仿宋简体" w:cs="方正仿宋简体"/>
          <w:spacing w:val="-4"/>
          <w:sz w:val="32"/>
          <w:szCs w:val="32"/>
        </w:rPr>
        <w:t>工作。</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黑体_GBK" w:hAnsi="方正黑体_GBK" w:eastAsia="方正黑体_GBK" w:cs="方正黑体_GBK"/>
          <w:spacing w:val="-4"/>
          <w:sz w:val="32"/>
          <w:szCs w:val="32"/>
        </w:rPr>
      </w:pPr>
      <w:r>
        <w:rPr>
          <w:rFonts w:hint="eastAsia" w:ascii="方正黑体_GBK" w:hAnsi="方正黑体_GBK" w:eastAsia="方正黑体_GBK" w:cs="方正黑体_GBK"/>
          <w:spacing w:val="-4"/>
          <w:sz w:val="32"/>
          <w:szCs w:val="32"/>
          <w:lang w:val="en-US" w:eastAsia="zh-CN"/>
        </w:rPr>
        <w:t>五、</w:t>
      </w:r>
      <w:r>
        <w:rPr>
          <w:rFonts w:hint="eastAsia" w:ascii="方正黑体_GBK" w:hAnsi="方正黑体_GBK" w:eastAsia="方正黑体_GBK" w:cs="方正黑体_GBK"/>
          <w:spacing w:val="-4"/>
          <w:sz w:val="32"/>
          <w:szCs w:val="32"/>
          <w:lang w:eastAsia="zh-CN"/>
        </w:rPr>
        <w:t>建设</w:t>
      </w:r>
      <w:r>
        <w:rPr>
          <w:rFonts w:hint="eastAsia" w:ascii="方正黑体_GBK" w:hAnsi="方正黑体_GBK" w:eastAsia="方正黑体_GBK" w:cs="方正黑体_GBK"/>
          <w:spacing w:val="-4"/>
          <w:sz w:val="32"/>
          <w:szCs w:val="32"/>
        </w:rPr>
        <w:t>评定</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24" w:firstLineChars="200"/>
        <w:textAlignment w:val="auto"/>
        <w:rPr>
          <w:rFonts w:hint="eastAsia" w:ascii="方正仿宋简体" w:hAnsi="方正仿宋简体" w:eastAsia="方正仿宋简体" w:cs="方正仿宋简体"/>
          <w:spacing w:val="-4"/>
          <w:sz w:val="32"/>
          <w:szCs w:val="32"/>
        </w:rPr>
      </w:pPr>
      <w:r>
        <w:rPr>
          <w:rFonts w:hint="eastAsia" w:ascii="方正仿宋简体" w:hAnsi="方正仿宋简体" w:eastAsia="方正仿宋简体" w:cs="方正仿宋简体"/>
          <w:spacing w:val="-4"/>
          <w:sz w:val="32"/>
          <w:szCs w:val="32"/>
        </w:rPr>
        <w:t>江苏省营养餐厅（食堂）由各</w:t>
      </w:r>
      <w:r>
        <w:rPr>
          <w:rFonts w:hint="eastAsia" w:ascii="方正仿宋简体" w:hAnsi="方正仿宋简体" w:eastAsia="方正仿宋简体" w:cs="方正仿宋简体"/>
          <w:spacing w:val="-4"/>
          <w:sz w:val="32"/>
          <w:szCs w:val="32"/>
          <w:lang w:val="en-US" w:eastAsia="zh-CN"/>
        </w:rPr>
        <w:t>设区市</w:t>
      </w:r>
      <w:r>
        <w:rPr>
          <w:rFonts w:hint="eastAsia" w:ascii="方正仿宋简体" w:hAnsi="方正仿宋简体" w:eastAsia="方正仿宋简体" w:cs="方正仿宋简体"/>
          <w:spacing w:val="-4"/>
          <w:sz w:val="32"/>
          <w:szCs w:val="32"/>
        </w:rPr>
        <w:t>卫生健康委</w:t>
      </w:r>
      <w:r>
        <w:rPr>
          <w:rFonts w:hint="eastAsia" w:ascii="方正仿宋简体" w:hAnsi="方正仿宋简体" w:eastAsia="方正仿宋简体" w:cs="方正仿宋简体"/>
          <w:spacing w:val="-4"/>
          <w:sz w:val="32"/>
          <w:szCs w:val="32"/>
          <w:lang w:val="en-US" w:eastAsia="zh-CN"/>
        </w:rPr>
        <w:t>组织</w:t>
      </w:r>
      <w:r>
        <w:rPr>
          <w:rFonts w:hint="eastAsia" w:ascii="方正仿宋简体" w:hAnsi="方正仿宋简体" w:eastAsia="方正仿宋简体" w:cs="方正仿宋简体"/>
          <w:spacing w:val="-4"/>
          <w:sz w:val="32"/>
          <w:szCs w:val="32"/>
        </w:rPr>
        <w:t>评定，</w:t>
      </w:r>
      <w:r>
        <w:rPr>
          <w:rFonts w:hint="eastAsia" w:ascii="方正仿宋简体" w:hAnsi="方正仿宋简体" w:eastAsia="方正仿宋简体" w:cs="方正仿宋简体"/>
          <w:spacing w:val="-4"/>
          <w:sz w:val="32"/>
          <w:szCs w:val="32"/>
          <w:lang w:val="en-US" w:eastAsia="zh-CN"/>
        </w:rPr>
        <w:t>同时</w:t>
      </w:r>
      <w:r>
        <w:rPr>
          <w:rFonts w:hint="eastAsia" w:ascii="方正仿宋简体" w:hAnsi="方正仿宋简体" w:eastAsia="方正仿宋简体" w:cs="方正仿宋简体"/>
          <w:spacing w:val="-4"/>
          <w:sz w:val="32"/>
          <w:szCs w:val="32"/>
        </w:rPr>
        <w:t>报省卫生健康委备案。</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24" w:firstLineChars="200"/>
        <w:textAlignment w:val="auto"/>
        <w:rPr>
          <w:rFonts w:hint="eastAsia" w:ascii="方正仿宋简体" w:hAnsi="方正仿宋简体" w:eastAsia="方正仿宋简体" w:cs="方正仿宋简体"/>
          <w:spacing w:val="-4"/>
          <w:sz w:val="32"/>
          <w:szCs w:val="32"/>
        </w:rPr>
      </w:pP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24" w:firstLineChars="200"/>
        <w:textAlignment w:val="auto"/>
        <w:rPr>
          <w:rFonts w:hint="eastAsia" w:ascii="方正仿宋简体" w:hAnsi="方正仿宋简体" w:eastAsia="方正仿宋简体" w:cs="方正仿宋简体"/>
          <w:spacing w:val="-4"/>
          <w:sz w:val="32"/>
          <w:szCs w:val="32"/>
        </w:rPr>
      </w:pPr>
      <w:r>
        <w:rPr>
          <w:rFonts w:hint="eastAsia" w:ascii="方正仿宋简体" w:hAnsi="方正仿宋简体" w:eastAsia="方正仿宋简体" w:cs="方正仿宋简体"/>
          <w:spacing w:val="-4"/>
          <w:sz w:val="32"/>
          <w:szCs w:val="32"/>
        </w:rPr>
        <w:t>附件：营养餐厅规范</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24" w:firstLineChars="200"/>
        <w:textAlignment w:val="auto"/>
        <w:rPr>
          <w:rFonts w:hint="eastAsia" w:ascii="方正仿宋简体" w:hAnsi="方正仿宋简体" w:eastAsia="方正仿宋简体" w:cs="方正仿宋简体"/>
          <w:spacing w:val="-4"/>
          <w:sz w:val="32"/>
          <w:szCs w:val="32"/>
        </w:rPr>
        <w:sectPr>
          <w:pgSz w:w="11906" w:h="16838"/>
          <w:pgMar w:top="1440" w:right="1800" w:bottom="1440" w:left="1800" w:header="851" w:footer="992" w:gutter="0"/>
          <w:pgNumType w:fmt="numberInDash"/>
          <w:cols w:space="425" w:num="1"/>
          <w:docGrid w:type="lines" w:linePitch="312" w:charSpace="0"/>
        </w:sectPr>
      </w:pPr>
      <w:bookmarkStart w:id="0" w:name="StandardName"/>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pacing w:val="-4"/>
          <w:sz w:val="32"/>
          <w:szCs w:val="32"/>
          <w:lang w:val="en-US" w:eastAsia="zh-CN"/>
        </w:rPr>
      </w:pPr>
      <w:r>
        <w:rPr>
          <w:rFonts w:hint="eastAsia" w:ascii="方正黑体_GBK" w:hAnsi="方正黑体_GBK" w:eastAsia="方正黑体_GBK" w:cs="方正黑体_GBK"/>
          <w:spacing w:val="-4"/>
          <w:sz w:val="32"/>
          <w:szCs w:val="32"/>
          <w:lang w:val="en-US" w:eastAsia="zh-CN"/>
        </w:rPr>
        <w:t>附件</w:t>
      </w:r>
      <w:r>
        <w:rPr>
          <w:rFonts w:hint="eastAsia" w:ascii="方正黑体_GBK" w:hAnsi="方正黑体_GBK" w:eastAsia="方正黑体_GBK" w:cs="方正黑体_GBK"/>
          <w:spacing w:val="-4"/>
          <w:sz w:val="32"/>
          <w:szCs w:val="32"/>
          <w:lang w:val="en-US" w:eastAsia="zh-CN"/>
        </w:rPr>
        <w:tab/>
      </w:r>
      <w:r>
        <w:rPr>
          <w:rFonts w:hint="eastAsia" w:ascii="方正黑体_GBK" w:hAnsi="方正黑体_GBK" w:eastAsia="方正黑体_GBK" w:cs="方正黑体_GBK"/>
          <w:spacing w:val="-4"/>
          <w:sz w:val="32"/>
          <w:szCs w:val="32"/>
          <w:lang w:val="en-US" w:eastAsia="zh-CN"/>
        </w:rPr>
        <w:tab/>
      </w:r>
    </w:p>
    <w:p>
      <w:pPr>
        <w:spacing w:line="360" w:lineRule="auto"/>
        <w:jc w:val="center"/>
        <w:rPr>
          <w:rFonts w:ascii="仿宋" w:hAnsi="仿宋" w:eastAsia="仿宋" w:cs="Times New Roman"/>
          <w:b/>
          <w:bCs/>
          <w:spacing w:val="-4"/>
          <w:sz w:val="32"/>
          <w:szCs w:val="22"/>
        </w:rPr>
      </w:pPr>
      <w:r>
        <w:rPr>
          <w:rFonts w:hint="eastAsia" w:ascii="方正小标宋简体" w:hAnsi="方正小标宋简体" w:eastAsia="方正小标宋简体" w:cs="方正小标宋简体"/>
          <w:b w:val="0"/>
          <w:bCs w:val="0"/>
          <w:spacing w:val="-4"/>
          <w:sz w:val="32"/>
          <w:szCs w:val="22"/>
        </w:rPr>
        <w:t>营养餐厅规范</w:t>
      </w:r>
      <w:r>
        <w:rPr>
          <w:rFonts w:hint="eastAsia" w:ascii="仿宋" w:hAnsi="仿宋" w:eastAsia="仿宋" w:cs="Times New Roman"/>
          <w:b/>
          <w:bCs/>
          <w:spacing w:val="-4"/>
          <w:sz w:val="32"/>
          <w:szCs w:val="22"/>
        </w:rPr>
        <w:t>     </w:t>
      </w:r>
      <w:bookmarkEnd w:id="0"/>
    </w:p>
    <w:p>
      <w:pPr>
        <w:pStyle w:val="7"/>
        <w:spacing w:before="312" w:after="312"/>
      </w:pPr>
      <w:r>
        <w:rPr>
          <w:rFonts w:hint="eastAsia"/>
        </w:rPr>
        <w:t>范围</w:t>
      </w:r>
    </w:p>
    <w:p>
      <w:pPr>
        <w:pStyle w:val="8"/>
        <w:ind w:firstLine="525" w:firstLineChars="250"/>
      </w:pPr>
      <w:r>
        <w:rPr>
          <w:rFonts w:hint="eastAsia"/>
        </w:rPr>
        <w:t>本标准规定了营养餐厅术语和定义、规范要求和评定要求。</w:t>
      </w:r>
    </w:p>
    <w:p>
      <w:pPr>
        <w:pStyle w:val="8"/>
        <w:ind w:firstLine="525" w:firstLineChars="250"/>
      </w:pPr>
      <w:r>
        <w:rPr>
          <w:rFonts w:hint="eastAsia"/>
        </w:rPr>
        <w:t>本标准适用于餐饮服务提供者的营养餐厅</w:t>
      </w:r>
      <w:r>
        <w:rPr>
          <w:rFonts w:hint="eastAsia"/>
          <w:lang w:eastAsia="zh-CN"/>
        </w:rPr>
        <w:t>建设</w:t>
      </w:r>
      <w:r>
        <w:rPr>
          <w:rFonts w:hint="eastAsia"/>
        </w:rPr>
        <w:t>。</w:t>
      </w:r>
    </w:p>
    <w:p>
      <w:pPr>
        <w:pStyle w:val="7"/>
        <w:spacing w:before="312" w:after="312"/>
      </w:pPr>
      <w:r>
        <w:rPr>
          <w:rFonts w:hint="eastAsia"/>
        </w:rPr>
        <w:t>规范性引用文件</w:t>
      </w:r>
    </w:p>
    <w:p>
      <w:pPr>
        <w:pStyle w:val="8"/>
      </w:pPr>
      <w:r>
        <w:rPr>
          <w:rFonts w:hint="eastAsia"/>
        </w:rPr>
        <w:t>下列文件对于本文件的应用是必不可少的。凡是注日期的引用文件，仅所注日期的版本适用于本文件。凡是不注日期的引用文件，其最新版本（包括所有的修改单）适用于本文件。</w:t>
      </w:r>
    </w:p>
    <w:p>
      <w:pPr>
        <w:pStyle w:val="8"/>
      </w:pPr>
      <w:r>
        <w:rPr>
          <w:rFonts w:hint="eastAsia"/>
        </w:rPr>
        <w:t>GB</w:t>
      </w:r>
      <w:r>
        <w:t xml:space="preserve"> </w:t>
      </w:r>
      <w:r>
        <w:rPr>
          <w:rFonts w:hint="eastAsia"/>
        </w:rPr>
        <w:t>28050 预包装食品营养标签通则</w:t>
      </w:r>
    </w:p>
    <w:p>
      <w:pPr>
        <w:pStyle w:val="8"/>
      </w:pPr>
      <w:r>
        <w:rPr>
          <w:rFonts w:hint="eastAsia"/>
        </w:rPr>
        <w:t>WS/T</w:t>
      </w:r>
      <w:r>
        <w:t xml:space="preserve"> </w:t>
      </w:r>
      <w:r>
        <w:rPr>
          <w:rFonts w:hint="eastAsia"/>
        </w:rPr>
        <w:t>578 中国居民膳食营养素参考摄入量</w:t>
      </w:r>
    </w:p>
    <w:p>
      <w:pPr>
        <w:pStyle w:val="8"/>
      </w:pPr>
      <w:r>
        <w:rPr>
          <w:rFonts w:hint="eastAsia"/>
        </w:rPr>
        <w:t>SB/T 10474-2008</w:t>
      </w:r>
      <w:r>
        <w:t xml:space="preserve"> </w:t>
      </w:r>
      <w:r>
        <w:rPr>
          <w:rFonts w:hint="eastAsia"/>
        </w:rPr>
        <w:t>餐饮业营养配餐技术要求</w:t>
      </w:r>
    </w:p>
    <w:p>
      <w:pPr>
        <w:pStyle w:val="7"/>
        <w:spacing w:before="312" w:after="312"/>
      </w:pPr>
      <w:r>
        <w:rPr>
          <w:rFonts w:hint="eastAsia"/>
        </w:rPr>
        <w:t>术语和定义</w:t>
      </w:r>
    </w:p>
    <w:p>
      <w:pPr>
        <w:pStyle w:val="8"/>
      </w:pPr>
      <w:bookmarkStart w:id="1" w:name="_Toc524679397"/>
      <w:bookmarkStart w:id="2" w:name="_Toc524679466"/>
      <w:r>
        <w:rPr>
          <w:rFonts w:hint="eastAsia"/>
        </w:rPr>
        <w:t>下列术语和定义适用于本</w:t>
      </w:r>
      <w:bookmarkEnd w:id="1"/>
      <w:bookmarkEnd w:id="2"/>
      <w:r>
        <w:rPr>
          <w:rFonts w:hint="eastAsia"/>
        </w:rPr>
        <w:t>文件。</w:t>
      </w:r>
    </w:p>
    <w:p>
      <w:pPr>
        <w:pStyle w:val="9"/>
        <w:spacing w:before="156" w:after="156"/>
      </w:pPr>
    </w:p>
    <w:p>
      <w:pPr>
        <w:pStyle w:val="9"/>
        <w:numPr>
          <w:ilvl w:val="0"/>
          <w:numId w:val="0"/>
        </w:numPr>
        <w:spacing w:before="156" w:afterLines="0"/>
        <w:ind w:firstLine="420" w:firstLineChars="200"/>
        <w:outlineLvl w:val="9"/>
      </w:pPr>
      <w:r>
        <w:rPr>
          <w:rFonts w:hint="eastAsia"/>
        </w:rPr>
        <w:t xml:space="preserve">营养餐厅 </w:t>
      </w:r>
      <w:r>
        <w:t xml:space="preserve"> </w:t>
      </w:r>
      <w:r>
        <w:rPr>
          <w:rFonts w:hint="eastAsia"/>
        </w:rPr>
        <w:t>n</w:t>
      </w:r>
      <w:r>
        <w:t xml:space="preserve">utrition </w:t>
      </w:r>
      <w:r>
        <w:rPr>
          <w:rFonts w:hint="eastAsia"/>
        </w:rPr>
        <w:t>d</w:t>
      </w:r>
      <w:r>
        <w:t>ining-room</w:t>
      </w:r>
    </w:p>
    <w:p>
      <w:pPr>
        <w:ind w:firstLine="420" w:firstLineChars="200"/>
      </w:pPr>
      <w:r>
        <w:rPr>
          <w:rFonts w:hint="eastAsia"/>
        </w:rPr>
        <w:t>能够提供营养均衡膳食，开展营养教育，</w:t>
      </w:r>
      <w:r>
        <w:rPr>
          <w:rFonts w:hint="eastAsia"/>
          <w:lang w:eastAsia="zh-CN"/>
        </w:rPr>
        <w:t>建设</w:t>
      </w:r>
      <w:r>
        <w:rPr>
          <w:rFonts w:hint="eastAsia"/>
        </w:rPr>
        <w:t>营养支持环境、开展从业人员和就餐人员的营养健康教育的饮食就餐场所。</w:t>
      </w:r>
    </w:p>
    <w:p>
      <w:pPr>
        <w:pStyle w:val="9"/>
        <w:spacing w:before="156" w:after="156"/>
      </w:pPr>
    </w:p>
    <w:p>
      <w:pPr>
        <w:pStyle w:val="9"/>
        <w:numPr>
          <w:ilvl w:val="0"/>
          <w:numId w:val="0"/>
        </w:numPr>
        <w:spacing w:before="156" w:afterLines="0"/>
        <w:ind w:firstLine="420" w:firstLineChars="200"/>
        <w:outlineLvl w:val="9"/>
      </w:pPr>
      <w:r>
        <w:rPr>
          <w:rFonts w:hint="eastAsia"/>
        </w:rPr>
        <w:t xml:space="preserve">营养标识 </w:t>
      </w:r>
      <w:r>
        <w:t xml:space="preserve"> </w:t>
      </w:r>
      <w:r>
        <w:rPr>
          <w:rFonts w:hint="eastAsia"/>
        </w:rPr>
        <w:t>n</w:t>
      </w:r>
      <w:r>
        <w:t xml:space="preserve">utrition </w:t>
      </w:r>
      <w:r>
        <w:rPr>
          <w:rFonts w:hint="eastAsia"/>
        </w:rPr>
        <w:t>l</w:t>
      </w:r>
      <w:r>
        <w:t>abeling</w:t>
      </w:r>
    </w:p>
    <w:p>
      <w:pPr>
        <w:pStyle w:val="8"/>
      </w:pPr>
      <w:r>
        <w:rPr>
          <w:rFonts w:hint="eastAsia"/>
        </w:rPr>
        <w:t>以菜品营养标签为主要内容，显示菜品的营养特性和相关营养学信息，是向就餐人员提供菜品营养成分信息和特征的说明。</w:t>
      </w:r>
    </w:p>
    <w:p>
      <w:pPr>
        <w:pStyle w:val="9"/>
        <w:spacing w:before="156" w:after="156"/>
      </w:pPr>
    </w:p>
    <w:p>
      <w:pPr>
        <w:pStyle w:val="9"/>
        <w:numPr>
          <w:ilvl w:val="0"/>
          <w:numId w:val="0"/>
        </w:numPr>
        <w:spacing w:before="156" w:afterLines="0"/>
        <w:ind w:firstLine="420" w:firstLineChars="200"/>
        <w:outlineLvl w:val="9"/>
      </w:pPr>
      <w:r>
        <w:rPr>
          <w:rFonts w:hint="eastAsia"/>
        </w:rPr>
        <w:t xml:space="preserve">营养素 </w:t>
      </w:r>
      <w:r>
        <w:t xml:space="preserve"> nutrient</w:t>
      </w:r>
    </w:p>
    <w:p>
      <w:pPr>
        <w:ind w:firstLine="420" w:firstLineChars="200"/>
      </w:pPr>
      <w:r>
        <w:rPr>
          <w:rFonts w:hint="eastAsia"/>
        </w:rPr>
        <w:t>菜品中具有特定生理作用，能维持机体生长、发育、活动、繁殖以及正常代谢所需的物质，缺少这些物质，将导致机体发生相应的生化或生理学的不良变化。包括蛋白质、脂肪、碳水化合物、矿物质、维生素五大类。</w:t>
      </w:r>
    </w:p>
    <w:p>
      <w:pPr>
        <w:pStyle w:val="9"/>
        <w:spacing w:before="156" w:after="156"/>
      </w:pPr>
    </w:p>
    <w:p>
      <w:pPr>
        <w:pStyle w:val="9"/>
        <w:numPr>
          <w:ilvl w:val="0"/>
          <w:numId w:val="0"/>
        </w:numPr>
        <w:spacing w:before="156" w:afterLines="0"/>
        <w:ind w:firstLine="420" w:firstLineChars="200"/>
        <w:outlineLvl w:val="9"/>
      </w:pPr>
      <w:r>
        <w:rPr>
          <w:rFonts w:hint="eastAsia"/>
        </w:rPr>
        <w:t xml:space="preserve">营养素参考值 </w:t>
      </w:r>
      <w:r>
        <w:t xml:space="preserve"> </w:t>
      </w:r>
      <w:r>
        <w:rPr>
          <w:rFonts w:hint="eastAsia"/>
        </w:rPr>
        <w:t>nutrient reference values，NRV</w:t>
      </w:r>
    </w:p>
    <w:p>
      <w:pPr>
        <w:pStyle w:val="8"/>
      </w:pPr>
      <w:r>
        <w:rPr>
          <w:rFonts w:hint="eastAsia"/>
        </w:rPr>
        <w:t>专用于食品标签的、可比较菜品营养成分含量多少的参考标准，是就餐人员选择菜品时的一种营养参照尺度。</w:t>
      </w:r>
    </w:p>
    <w:p>
      <w:pPr>
        <w:pStyle w:val="7"/>
        <w:spacing w:before="312" w:after="312"/>
      </w:pPr>
      <w:r>
        <w:rPr>
          <w:rFonts w:hint="eastAsia"/>
        </w:rPr>
        <w:t>规范要求</w:t>
      </w:r>
    </w:p>
    <w:p>
      <w:pPr>
        <w:pStyle w:val="9"/>
        <w:spacing w:before="156" w:after="156"/>
      </w:pPr>
      <w:r>
        <w:rPr>
          <w:rFonts w:hint="eastAsia"/>
        </w:rPr>
        <w:t>基本要求</w:t>
      </w:r>
    </w:p>
    <w:p>
      <w:pPr>
        <w:pStyle w:val="8"/>
        <w:rPr>
          <w:szCs w:val="22"/>
        </w:rPr>
      </w:pPr>
      <w:r>
        <w:rPr>
          <w:rFonts w:hint="eastAsia"/>
        </w:rPr>
        <w:t>餐厅应取得《食品经营许可证》，经食品安全监管部门认定符合餐饮服务食品安全监督量化分级良好等级以上，保障食品安全。</w:t>
      </w:r>
    </w:p>
    <w:p>
      <w:pPr>
        <w:pStyle w:val="9"/>
        <w:spacing w:before="156" w:after="156"/>
      </w:pPr>
      <w:r>
        <w:rPr>
          <w:rFonts w:hint="eastAsia"/>
        </w:rPr>
        <w:t>环境要求</w:t>
      </w:r>
    </w:p>
    <w:p>
      <w:pPr>
        <w:pStyle w:val="10"/>
      </w:pPr>
      <w:r>
        <w:rPr>
          <w:rFonts w:hint="eastAsia"/>
        </w:rPr>
        <w:t>餐厅应保持整体环境整洁，张贴禁烟标识。</w:t>
      </w:r>
    </w:p>
    <w:p>
      <w:pPr>
        <w:pStyle w:val="10"/>
      </w:pPr>
      <w:r>
        <w:rPr>
          <w:rFonts w:hint="eastAsia"/>
        </w:rPr>
        <w:t>餐厅应利用张贴画、板报、宣传栏以及多媒体展示等形式宣传膳食营养健康知识，营造餐厅营养健康氛围；通过摆放身高体重计、BMI转盘、血压计等，方便就餐者进行日常健康监测。并摆放食物模型、平衡膳食宝塔等方式，指导就餐者合理膳食、吃动平衡。</w:t>
      </w:r>
    </w:p>
    <w:p>
      <w:pPr>
        <w:pStyle w:val="10"/>
      </w:pPr>
      <w:r>
        <w:rPr>
          <w:rFonts w:hint="eastAsia"/>
        </w:rPr>
        <w:t>餐厅内应免费提供营养宣传资料供取阅,应免费提供热水。</w:t>
      </w:r>
    </w:p>
    <w:p>
      <w:pPr>
        <w:pStyle w:val="10"/>
      </w:pPr>
      <w:r>
        <w:rPr>
          <w:rFonts w:hint="eastAsia"/>
        </w:rPr>
        <w:t>餐桌上应摆放营养宣传桌牌，提供盐、糖等调味品。</w:t>
      </w:r>
    </w:p>
    <w:p>
      <w:pPr>
        <w:pStyle w:val="9"/>
        <w:spacing w:before="156" w:after="156"/>
      </w:pPr>
      <w:r>
        <w:rPr>
          <w:rFonts w:hint="eastAsia"/>
        </w:rPr>
        <w:t>人员要求</w:t>
      </w:r>
    </w:p>
    <w:p>
      <w:pPr>
        <w:pStyle w:val="10"/>
      </w:pPr>
      <w:r>
        <w:rPr>
          <w:rFonts w:hint="eastAsia"/>
        </w:rPr>
        <w:t>营养餐厅应至少配备一名专职或兼职营养师（餐饮业营养配餐师），负责营养配餐和管理，科学指导采购、配料和加工，按照就餐人员特点帮助正确选餐。</w:t>
      </w:r>
    </w:p>
    <w:p>
      <w:pPr>
        <w:pStyle w:val="10"/>
      </w:pPr>
      <w:r>
        <w:rPr>
          <w:rFonts w:hint="eastAsia"/>
        </w:rPr>
        <w:t>加强对厨师制作低盐少油菜肴及营养配餐技能的培训，使其掌握制作低盐少油菜肴技能，能合理搭配并烹饪菜肴。</w:t>
      </w:r>
    </w:p>
    <w:p>
      <w:pPr>
        <w:pStyle w:val="10"/>
      </w:pPr>
      <w:r>
        <w:rPr>
          <w:rFonts w:hint="eastAsia"/>
        </w:rPr>
        <w:t>餐厅从业人员应每季度累计接受8小时以上的合理膳食知识培训，熟悉《中国居民膳食指南（2016版）》，并能向就餐者提供合理膳食搭配建议。餐厅负责人每年接受累计8小时的营养餐厅相关培训。</w:t>
      </w:r>
    </w:p>
    <w:p>
      <w:pPr>
        <w:pStyle w:val="10"/>
      </w:pPr>
      <w:r>
        <w:rPr>
          <w:rFonts w:hint="eastAsia"/>
        </w:rPr>
        <w:t>以餐厅为主体，可开展从业人员营养健康厨艺比赛、膳食知识比赛等活动，提高从业人员营养技能。</w:t>
      </w:r>
    </w:p>
    <w:p>
      <w:pPr>
        <w:pStyle w:val="9"/>
        <w:spacing w:before="156" w:after="156"/>
      </w:pPr>
      <w:r>
        <w:rPr>
          <w:rFonts w:hint="eastAsia"/>
        </w:rPr>
        <w:t>菜肴的营养要求</w:t>
      </w:r>
    </w:p>
    <w:p>
      <w:pPr>
        <w:pStyle w:val="10"/>
      </w:pPr>
      <w:r>
        <w:rPr>
          <w:rFonts w:hint="eastAsia"/>
        </w:rPr>
        <w:t>供餐食物种类应多样化，每餐应提供不少于12种不同类型的食物，每周不少于25种不同类型的食物，应包括谷薯类、蔬菜类、鱼肉蛋豆类等食物，深色蔬菜种类占蔬菜的1/2以上。主食品种达到2种以上，每餐供应1种以上杂粮。</w:t>
      </w:r>
    </w:p>
    <w:p>
      <w:pPr>
        <w:pStyle w:val="10"/>
      </w:pPr>
      <w:r>
        <w:rPr>
          <w:rFonts w:hint="eastAsia"/>
        </w:rPr>
        <w:t>应提供可以选择大小份的主食及菜肴，套餐提供多种拼菜选择，供就餐者自由选择。</w:t>
      </w:r>
    </w:p>
    <w:p>
      <w:pPr>
        <w:pStyle w:val="10"/>
      </w:pPr>
      <w:r>
        <w:rPr>
          <w:rFonts w:hint="eastAsia"/>
        </w:rPr>
        <w:t>应增加新鲜水果、奶类供应，避免高脂、高糖和碳酸饮料的供应。</w:t>
      </w:r>
    </w:p>
    <w:p>
      <w:pPr>
        <w:pStyle w:val="10"/>
      </w:pPr>
      <w:r>
        <w:rPr>
          <w:rFonts w:hint="eastAsia"/>
        </w:rPr>
        <w:t>可根据不同人群的健康需要，主动提供特殊需要人群膳食（如低能量、低脂肪、低钠盐、低GI、</w:t>
      </w:r>
      <w:r>
        <w:t>低嘌呤</w:t>
      </w:r>
      <w:r>
        <w:rPr>
          <w:rFonts w:hint="eastAsia"/>
        </w:rPr>
        <w:t>等膳食），制定适合不同年龄、性别、生理状况人群的营养配餐食谱。</w:t>
      </w:r>
    </w:p>
    <w:p>
      <w:pPr>
        <w:pStyle w:val="9"/>
        <w:spacing w:before="156" w:after="156"/>
      </w:pPr>
      <w:r>
        <w:rPr>
          <w:rFonts w:hint="eastAsia"/>
        </w:rPr>
        <w:t>油盐糖用量及烹调要求</w:t>
      </w:r>
    </w:p>
    <w:p>
      <w:pPr>
        <w:pStyle w:val="10"/>
      </w:pPr>
      <w:r>
        <w:rPr>
          <w:rFonts w:hint="eastAsia"/>
        </w:rPr>
        <w:t>控制餐厅供餐的油盐用量，逐步减少菜肴的油、盐用量。低盐菜肴占菜品总量30%以上，少油菜肴占菜品总量30%以上。</w:t>
      </w:r>
    </w:p>
    <w:p>
      <w:pPr>
        <w:pStyle w:val="10"/>
      </w:pPr>
      <w:r>
        <w:rPr>
          <w:rFonts w:hint="eastAsia"/>
        </w:rPr>
        <w:t>多采用蒸、煮、炖等烹饪方法，少用油炸、煎、烟熏等烹饪方法，减少盐腌制、腊制、动物油脂类食物,油炸、盐腌、烟熏菜肴不超过菜品总量的20%；避免过多的能量、盐、脂肪，特别是饱和脂肪等的过量摄入。</w:t>
      </w:r>
    </w:p>
    <w:p>
      <w:pPr>
        <w:pStyle w:val="10"/>
      </w:pPr>
      <w:r>
        <w:rPr>
          <w:rFonts w:hint="eastAsia"/>
        </w:rPr>
        <w:t>凉拌蔬菜不提前用盐腌制，炒菜起锅时再加咸味调味品。</w:t>
      </w:r>
    </w:p>
    <w:p>
      <w:pPr>
        <w:pStyle w:val="10"/>
      </w:pPr>
      <w:r>
        <w:rPr>
          <w:rFonts w:hint="eastAsia"/>
        </w:rPr>
        <w:t>炖汤、炖肉时去掉浮油，减少需要过油处理的菜肴，盛盘时先控去多余的油。</w:t>
      </w:r>
    </w:p>
    <w:p>
      <w:pPr>
        <w:pStyle w:val="10"/>
      </w:pPr>
      <w:r>
        <w:rPr>
          <w:rFonts w:hint="eastAsia"/>
        </w:rPr>
        <w:t>不在豆浆和粥汤等加糖，就餐者有要求时可自行添加。</w:t>
      </w:r>
    </w:p>
    <w:p>
      <w:pPr>
        <w:pStyle w:val="9"/>
        <w:spacing w:before="156" w:after="156"/>
      </w:pPr>
      <w:r>
        <w:rPr>
          <w:rFonts w:hint="eastAsia"/>
        </w:rPr>
        <w:t>营养标识要求</w:t>
      </w:r>
    </w:p>
    <w:p>
      <w:pPr>
        <w:pStyle w:val="10"/>
      </w:pPr>
      <w:r>
        <w:rPr>
          <w:rFonts w:hint="eastAsia"/>
        </w:rPr>
        <w:t>对菜肴进行营养成分或营养声称标示时，应标示能量、蛋白质、脂肪、碳水化合物、食用盐、食用油含量。</w:t>
      </w:r>
    </w:p>
    <w:p>
      <w:pPr>
        <w:pStyle w:val="10"/>
      </w:pPr>
      <w:r>
        <w:rPr>
          <w:rFonts w:hint="eastAsia"/>
        </w:rPr>
        <w:t>菜肴营养标签中营养成分标示应以菜肴原料每例/份中的含量，或每100克（毫升）数值标示，同时鼓励标示该营养成分含量占营养素参考值（NRV）的百分比或推荐值。</w:t>
      </w:r>
    </w:p>
    <w:p>
      <w:pPr>
        <w:pStyle w:val="10"/>
      </w:pPr>
      <w:r>
        <w:rPr>
          <w:rFonts w:hint="eastAsia"/>
        </w:rPr>
        <w:t>推荐标示以下的营养成分，主要包括饱和脂肪（酸）、胆固醇、糖、膳食纤维等与人体健康关系重要的营养成分。</w:t>
      </w:r>
    </w:p>
    <w:p>
      <w:pPr>
        <w:pStyle w:val="9"/>
        <w:spacing w:before="156" w:after="156"/>
      </w:pPr>
      <w:r>
        <w:rPr>
          <w:rFonts w:hint="eastAsia"/>
        </w:rPr>
        <w:t>建设效果评价要求</w:t>
      </w:r>
    </w:p>
    <w:p>
      <w:pPr>
        <w:pStyle w:val="10"/>
      </w:pPr>
      <w:r>
        <w:rPr>
          <w:rFonts w:hint="eastAsia"/>
        </w:rPr>
        <w:t>在营养餐厅建设过程中，应记录并统计用油、用盐量及用餐人次数，考核餐厅控盐控油的效果，对照食用油推荐量（25-30克/人.天）、食盐推荐量（6克/人.天）的标准进行评价。</w:t>
      </w:r>
    </w:p>
    <w:p>
      <w:pPr>
        <w:pStyle w:val="10"/>
      </w:pPr>
      <w:r>
        <w:rPr>
          <w:rFonts w:hint="eastAsia"/>
        </w:rPr>
        <w:t>采用问卷调查的方法，收集就餐者在营养餐厅就餐后的公共营养知识、态度和行为（KAP）以及餐厅满意度等变化情况。</w:t>
      </w:r>
    </w:p>
    <w:p>
      <w:pPr>
        <w:pStyle w:val="10"/>
      </w:pPr>
      <w:r>
        <w:rPr>
          <w:rFonts w:hint="eastAsia"/>
        </w:rPr>
        <w:t>对餐厅从业人员进行考核，其膳食营养知识知晓率及行为改变率应达到85%以上。</w:t>
      </w:r>
    </w:p>
    <w:p>
      <w:pPr>
        <w:pStyle w:val="7"/>
        <w:spacing w:before="312" w:after="312"/>
        <w:rPr>
          <w:szCs w:val="22"/>
        </w:rPr>
      </w:pPr>
      <w:r>
        <w:rPr>
          <w:rFonts w:hint="eastAsia"/>
          <w:szCs w:val="22"/>
        </w:rPr>
        <w:t>评定要求</w:t>
      </w:r>
    </w:p>
    <w:p>
      <w:pPr>
        <w:pStyle w:val="9"/>
        <w:spacing w:beforeLines="0" w:afterLines="0"/>
        <w:rPr>
          <w:rFonts w:ascii="宋体" w:hAnsi="宋体" w:eastAsia="宋体"/>
        </w:rPr>
      </w:pPr>
      <w:r>
        <w:rPr>
          <w:rFonts w:hint="eastAsia" w:ascii="宋体" w:hAnsi="宋体" w:eastAsia="宋体"/>
        </w:rPr>
        <w:t>应由第三方专业机构对营养餐厅进行评定。</w:t>
      </w:r>
    </w:p>
    <w:p>
      <w:pPr>
        <w:pStyle w:val="9"/>
        <w:spacing w:beforeLines="0" w:afterLines="0"/>
        <w:rPr>
          <w:rFonts w:ascii="宋体" w:hAnsi="宋体" w:eastAsia="宋体"/>
        </w:rPr>
      </w:pPr>
      <w:r>
        <w:rPr>
          <w:rFonts w:hint="eastAsia" w:ascii="宋体" w:hAnsi="宋体" w:eastAsia="宋体"/>
          <w:lang w:eastAsia="zh-CN"/>
        </w:rPr>
        <w:t>建设</w:t>
      </w:r>
      <w:r>
        <w:rPr>
          <w:rFonts w:hint="eastAsia" w:ascii="宋体" w:hAnsi="宋体" w:eastAsia="宋体"/>
        </w:rPr>
        <w:t>营养餐厅半年后可进行营养餐厅评定。</w:t>
      </w:r>
    </w:p>
    <w:p>
      <w:pPr>
        <w:pStyle w:val="9"/>
        <w:spacing w:beforeLines="0" w:afterLines="0"/>
        <w:rPr>
          <w:rFonts w:ascii="宋体" w:hAnsi="宋体" w:eastAsia="宋体"/>
        </w:rPr>
      </w:pPr>
      <w:r>
        <w:rPr>
          <w:rFonts w:hint="eastAsia" w:ascii="宋体" w:hAnsi="宋体" w:eastAsia="宋体"/>
        </w:rPr>
        <w:t>对营养餐厅进行评定时，应根据其环境、人员、菜肴营养、油盐用量、烹调、营养标识、建设效果等方面进行综合评估，根据表A.1营养餐厅评估表对申报餐厅进行评分，高于80分评为营养餐厅。</w:t>
      </w:r>
    </w:p>
    <w:p>
      <w:pPr>
        <w:pStyle w:val="13"/>
        <w:numPr>
          <w:ilvl w:val="0"/>
          <w:numId w:val="0"/>
        </w:numPr>
        <w:ind w:left="363" w:leftChars="0"/>
        <w:jc w:val="both"/>
        <w:rPr>
          <w:color w:val="auto"/>
        </w:rPr>
      </w:pPr>
    </w:p>
    <w:p>
      <w:pPr>
        <w:pStyle w:val="14"/>
        <w:rPr>
          <w:color w:val="auto"/>
        </w:rPr>
      </w:pPr>
    </w:p>
    <w:p>
      <w:pPr>
        <w:pStyle w:val="15"/>
      </w:pPr>
      <w:r>
        <w:br w:type="textWrapping"/>
      </w:r>
      <w:r>
        <w:rPr>
          <w:rFonts w:hint="eastAsia"/>
        </w:rPr>
        <w:t>（规范性附录）</w:t>
      </w:r>
    </w:p>
    <w:p>
      <w:pPr>
        <w:pStyle w:val="15"/>
        <w:numPr>
          <w:ilvl w:val="0"/>
          <w:numId w:val="0"/>
        </w:numPr>
        <w:ind w:firstLine="420" w:firstLineChars="200"/>
        <w:jc w:val="both"/>
      </w:pPr>
      <w:r>
        <w:rPr>
          <w:rFonts w:hint="eastAsia"/>
        </w:rPr>
        <w:t>营养餐厅进行评定时，应根据其环境、人员、菜肴营养、油盐用量、烹调、营养标识、建设效果等方面进行综合评估。（见表</w:t>
      </w:r>
      <w:r>
        <w:t>A.1</w:t>
      </w:r>
      <w:r>
        <w:rPr>
          <w:rFonts w:hint="eastAsia"/>
        </w:rPr>
        <w:t>）</w:t>
      </w:r>
    </w:p>
    <w:p>
      <w:pPr>
        <w:pStyle w:val="16"/>
        <w:spacing w:before="156" w:after="156"/>
      </w:pPr>
      <w:r>
        <w:rPr>
          <w:rFonts w:hint="eastAsia"/>
        </w:rPr>
        <w:t>营养餐厅评估表</w:t>
      </w:r>
    </w:p>
    <w:tbl>
      <w:tblPr>
        <w:tblStyle w:val="5"/>
        <w:tblW w:w="5000" w:type="pct"/>
        <w:tblInd w:w="0" w:type="dxa"/>
        <w:tblLayout w:type="autofit"/>
        <w:tblCellMar>
          <w:top w:w="0" w:type="dxa"/>
          <w:left w:w="108" w:type="dxa"/>
          <w:bottom w:w="0" w:type="dxa"/>
          <w:right w:w="108" w:type="dxa"/>
        </w:tblCellMar>
      </w:tblPr>
      <w:tblGrid>
        <w:gridCol w:w="977"/>
        <w:gridCol w:w="3223"/>
        <w:gridCol w:w="1492"/>
        <w:gridCol w:w="698"/>
        <w:gridCol w:w="1523"/>
        <w:gridCol w:w="609"/>
      </w:tblGrid>
      <w:tr>
        <w:trPr>
          <w:trHeight w:val="270" w:hRule="atLeast"/>
        </w:trPr>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项目</w:t>
            </w:r>
          </w:p>
        </w:tc>
        <w:tc>
          <w:tcPr>
            <w:tcW w:w="1890"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建设内容</w:t>
            </w:r>
          </w:p>
        </w:tc>
        <w:tc>
          <w:tcPr>
            <w:tcW w:w="875"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评估方法</w:t>
            </w:r>
          </w:p>
        </w:tc>
        <w:tc>
          <w:tcPr>
            <w:tcW w:w="40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满分值</w:t>
            </w:r>
          </w:p>
        </w:tc>
        <w:tc>
          <w:tcPr>
            <w:tcW w:w="893"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评估标准</w:t>
            </w:r>
          </w:p>
        </w:tc>
        <w:tc>
          <w:tcPr>
            <w:tcW w:w="357"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r>
      <w:tr>
        <w:trPr>
          <w:trHeight w:val="765" w:hRule="atLeast"/>
        </w:trPr>
        <w:tc>
          <w:tcPr>
            <w:tcW w:w="573" w:type="pct"/>
            <w:tcBorders>
              <w:top w:val="nil"/>
              <w:left w:val="single" w:color="auto" w:sz="4" w:space="0"/>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基本要求</w:t>
            </w:r>
          </w:p>
        </w:tc>
        <w:tc>
          <w:tcPr>
            <w:tcW w:w="1890" w:type="pc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餐厅应取得《食品经营许可证》，经食品安全监管部门认定符合餐饮服务食品安全监督量化分级良好等级以上，保障食品安全。</w:t>
            </w:r>
          </w:p>
        </w:tc>
        <w:tc>
          <w:tcPr>
            <w:tcW w:w="875"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未达到基本条件的不予评估</w:t>
            </w:r>
          </w:p>
        </w:tc>
        <w:tc>
          <w:tcPr>
            <w:tcW w:w="409"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93"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p>
        </w:tc>
        <w:tc>
          <w:tcPr>
            <w:tcW w:w="357"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trPr>
          <w:trHeight w:val="285" w:hRule="atLeast"/>
        </w:trPr>
        <w:tc>
          <w:tcPr>
            <w:tcW w:w="573" w:type="pct"/>
            <w:vMerge w:val="restart"/>
            <w:tcBorders>
              <w:top w:val="nil"/>
              <w:left w:val="single" w:color="auto" w:sz="4" w:space="0"/>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环境要求12分</w:t>
            </w:r>
          </w:p>
        </w:tc>
        <w:tc>
          <w:tcPr>
            <w:tcW w:w="1890" w:type="pc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餐厅应保持整体环境整洁，张贴禁烟标识。</w:t>
            </w:r>
          </w:p>
        </w:tc>
        <w:tc>
          <w:tcPr>
            <w:tcW w:w="875"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409"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893"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环境整洁加1分；张贴禁烟标识加1分。</w:t>
            </w:r>
          </w:p>
        </w:tc>
        <w:tc>
          <w:tcPr>
            <w:tcW w:w="357"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trPr>
          <w:trHeight w:val="915" w:hRule="atLeast"/>
        </w:trPr>
        <w:tc>
          <w:tcPr>
            <w:tcW w:w="57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890" w:type="pc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餐厅应利用张贴画、板报、宣传栏以及多媒体展示等形式宣传膳食营养健康知识，营造餐厅营养健康氛围；通过摆放身高体重计、BMI转盘、血压计等，方便就餐者进行日常健康监测。并摆放食物模型、平衡膳食宝塔等方式，指导就餐者合理膳食、吃动平衡。</w:t>
            </w:r>
          </w:p>
        </w:tc>
        <w:tc>
          <w:tcPr>
            <w:tcW w:w="875" w:type="pct"/>
            <w:vMerge w:val="continue"/>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409"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893"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有宣传加3分；宣传形式多样、便于观看，加2分。</w:t>
            </w:r>
          </w:p>
        </w:tc>
        <w:tc>
          <w:tcPr>
            <w:tcW w:w="357"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trPr>
          <w:trHeight w:val="540" w:hRule="atLeast"/>
        </w:trPr>
        <w:tc>
          <w:tcPr>
            <w:tcW w:w="57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890" w:type="pc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餐厅内应免费提供营养宣传资料供取阅，应免费提供热水。</w:t>
            </w:r>
          </w:p>
        </w:tc>
        <w:tc>
          <w:tcPr>
            <w:tcW w:w="875" w:type="pct"/>
            <w:vMerge w:val="continue"/>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409"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893"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有相关宣传资料加2分；提供热水加1分。</w:t>
            </w:r>
          </w:p>
        </w:tc>
        <w:tc>
          <w:tcPr>
            <w:tcW w:w="357"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trPr>
          <w:trHeight w:val="555" w:hRule="atLeast"/>
        </w:trPr>
        <w:tc>
          <w:tcPr>
            <w:tcW w:w="57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890" w:type="pc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餐桌上应摆放营养宣传桌牌，提供盐、糖等调味品。</w:t>
            </w:r>
          </w:p>
        </w:tc>
        <w:tc>
          <w:tcPr>
            <w:tcW w:w="875" w:type="pct"/>
            <w:vMerge w:val="continue"/>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409"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893"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有桌牌加1分；提供调味品加1分。</w:t>
            </w:r>
          </w:p>
        </w:tc>
        <w:tc>
          <w:tcPr>
            <w:tcW w:w="357"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trPr>
          <w:trHeight w:val="690" w:hRule="atLeast"/>
        </w:trPr>
        <w:tc>
          <w:tcPr>
            <w:tcW w:w="573" w:type="pct"/>
            <w:vMerge w:val="restart"/>
            <w:tcBorders>
              <w:top w:val="nil"/>
              <w:left w:val="single" w:color="auto" w:sz="4" w:space="0"/>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人员要求16分</w:t>
            </w:r>
          </w:p>
        </w:tc>
        <w:tc>
          <w:tcPr>
            <w:tcW w:w="1890" w:type="pc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营养餐厅应至少配备一名专职或兼职营养师（餐饮业营养配餐师），负责营养配餐和管理，科学指导采购、配料和加工，按照就餐人员特点帮助正确选餐。</w:t>
            </w:r>
          </w:p>
        </w:tc>
        <w:tc>
          <w:tcPr>
            <w:tcW w:w="875" w:type="pct"/>
            <w:vMerge w:val="restart"/>
            <w:tcBorders>
              <w:top w:val="single" w:color="auto" w:sz="4" w:space="0"/>
              <w:left w:val="single" w:color="auto" w:sz="4" w:space="0"/>
              <w:bottom w:val="single" w:color="000000" w:sz="4" w:space="0"/>
              <w:right w:val="single" w:color="000000"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现场询问</w:t>
            </w:r>
          </w:p>
        </w:tc>
        <w:tc>
          <w:tcPr>
            <w:tcW w:w="409"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893"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有专兼职营养配餐人员加4分，开展工作职能加2分。</w:t>
            </w:r>
          </w:p>
        </w:tc>
        <w:tc>
          <w:tcPr>
            <w:tcW w:w="357"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trPr>
          <w:trHeight w:val="780" w:hRule="atLeast"/>
        </w:trPr>
        <w:tc>
          <w:tcPr>
            <w:tcW w:w="57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890" w:type="pc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加强对厨师制作低盐少油菜肴及营养配餐技能的培训，使其掌握制作低盐少油菜肴技能，能合理搭配并烹饪菜肴。</w:t>
            </w:r>
          </w:p>
        </w:tc>
        <w:tc>
          <w:tcPr>
            <w:tcW w:w="875" w:type="pct"/>
            <w:vMerge w:val="continue"/>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409"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893"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加强相关培训加2分；厨师能够制作低盐少油菜品、合理搭配并烹饪菜肴，加3分。</w:t>
            </w:r>
          </w:p>
        </w:tc>
        <w:tc>
          <w:tcPr>
            <w:tcW w:w="357"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trPr>
          <w:trHeight w:val="1305" w:hRule="atLeast"/>
        </w:trPr>
        <w:tc>
          <w:tcPr>
            <w:tcW w:w="57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890" w:type="pc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餐厅从业人员应每季度累计接受8小时以上的合理膳食知识培训，熟悉《中国居民膳食指南（2016版）》，并能向就餐者提供合理膳食搭配建议。餐厅负责人每年接受累计8小时的营养餐厅相关培训。</w:t>
            </w:r>
          </w:p>
        </w:tc>
        <w:tc>
          <w:tcPr>
            <w:tcW w:w="875"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现场查看，查看资料</w:t>
            </w:r>
          </w:p>
        </w:tc>
        <w:tc>
          <w:tcPr>
            <w:tcW w:w="409"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893"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有培训加2分；培训覆盖率高于90%，加1分；培训时间和次数达要求，加2分。</w:t>
            </w:r>
          </w:p>
        </w:tc>
        <w:tc>
          <w:tcPr>
            <w:tcW w:w="357"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bl>
    <w:p>
      <w:pPr>
        <w:pStyle w:val="4"/>
        <w:spacing w:before="156" w:beforeLines="50" w:after="156" w:afterLines="50"/>
        <w:jc w:val="center"/>
        <w:rPr>
          <w:sz w:val="21"/>
          <w:szCs w:val="21"/>
        </w:rPr>
      </w:pPr>
      <w:r>
        <w:rPr>
          <w:rFonts w:hint="eastAsia" w:ascii="黑体" w:eastAsia="黑体"/>
          <w:sz w:val="21"/>
          <w:szCs w:val="21"/>
        </w:rPr>
        <w:t>表A.1(续)</w:t>
      </w:r>
    </w:p>
    <w:tbl>
      <w:tblPr>
        <w:tblStyle w:val="5"/>
        <w:tblW w:w="5000" w:type="pct"/>
        <w:tblInd w:w="0" w:type="dxa"/>
        <w:tblLayout w:type="autofit"/>
        <w:tblCellMar>
          <w:top w:w="0" w:type="dxa"/>
          <w:left w:w="108" w:type="dxa"/>
          <w:bottom w:w="0" w:type="dxa"/>
          <w:right w:w="108" w:type="dxa"/>
        </w:tblCellMar>
      </w:tblPr>
      <w:tblGrid>
        <w:gridCol w:w="982"/>
        <w:gridCol w:w="3223"/>
        <w:gridCol w:w="1445"/>
        <w:gridCol w:w="743"/>
        <w:gridCol w:w="1524"/>
        <w:gridCol w:w="605"/>
      </w:tblGrid>
      <w:tr>
        <w:trPr>
          <w:trHeight w:val="448" w:hRule="atLeast"/>
        </w:trPr>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b/>
                <w:bCs/>
                <w:color w:val="000000"/>
                <w:kern w:val="0"/>
                <w:sz w:val="18"/>
                <w:szCs w:val="18"/>
              </w:rPr>
              <w:t>项目</w:t>
            </w:r>
          </w:p>
        </w:tc>
        <w:tc>
          <w:tcPr>
            <w:tcW w:w="1891"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b/>
                <w:bCs/>
                <w:color w:val="000000"/>
                <w:kern w:val="0"/>
                <w:sz w:val="18"/>
                <w:szCs w:val="18"/>
              </w:rPr>
              <w:t>建设内容</w:t>
            </w:r>
          </w:p>
        </w:tc>
        <w:tc>
          <w:tcPr>
            <w:tcW w:w="848" w:type="pct"/>
            <w:tcBorders>
              <w:top w:val="single" w:color="auto" w:sz="4" w:space="0"/>
              <w:left w:val="nil"/>
              <w:bottom w:val="single" w:color="auto" w:sz="4" w:space="0"/>
              <w:right w:val="single" w:color="000000" w:sz="4" w:space="0"/>
            </w:tcBorders>
            <w:vAlign w:val="center"/>
          </w:tcPr>
          <w:p>
            <w:pPr>
              <w:widowControl/>
              <w:jc w:val="center"/>
              <w:rPr>
                <w:rFonts w:ascii="宋体" w:hAnsi="宋体" w:cs="宋体"/>
                <w:color w:val="000000"/>
                <w:kern w:val="0"/>
                <w:sz w:val="18"/>
                <w:szCs w:val="18"/>
              </w:rPr>
            </w:pPr>
            <w:r>
              <w:rPr>
                <w:rFonts w:hint="eastAsia" w:ascii="宋体" w:hAnsi="宋体" w:cs="宋体"/>
                <w:b/>
                <w:bCs/>
                <w:color w:val="000000"/>
                <w:kern w:val="0"/>
                <w:sz w:val="18"/>
                <w:szCs w:val="18"/>
              </w:rPr>
              <w:t>评估方法</w:t>
            </w:r>
          </w:p>
        </w:tc>
        <w:tc>
          <w:tcPr>
            <w:tcW w:w="436"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b/>
                <w:bCs/>
                <w:color w:val="000000"/>
                <w:kern w:val="0"/>
                <w:sz w:val="18"/>
                <w:szCs w:val="18"/>
              </w:rPr>
              <w:t>满分值</w:t>
            </w:r>
          </w:p>
        </w:tc>
        <w:tc>
          <w:tcPr>
            <w:tcW w:w="89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b/>
                <w:bCs/>
                <w:color w:val="000000"/>
                <w:kern w:val="0"/>
                <w:sz w:val="18"/>
                <w:szCs w:val="18"/>
              </w:rPr>
              <w:t>评估标准</w:t>
            </w:r>
          </w:p>
        </w:tc>
        <w:tc>
          <w:tcPr>
            <w:tcW w:w="355"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b/>
                <w:bCs/>
                <w:color w:val="000000"/>
                <w:kern w:val="0"/>
                <w:sz w:val="18"/>
                <w:szCs w:val="18"/>
              </w:rPr>
              <w:t>得分</w:t>
            </w:r>
          </w:p>
        </w:tc>
      </w:tr>
      <w:tr>
        <w:trPr>
          <w:trHeight w:val="1350" w:hRule="atLeast"/>
        </w:trPr>
        <w:tc>
          <w:tcPr>
            <w:tcW w:w="576" w:type="pct"/>
            <w:vMerge w:val="restar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菜肴的营养要求28分 </w:t>
            </w:r>
          </w:p>
        </w:tc>
        <w:tc>
          <w:tcPr>
            <w:tcW w:w="1891"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供餐食物种类应多样化，每餐应提供不少于12种不同类型的食物，每周不少于25种不同类型的食物，应包括谷薯类、蔬菜类、鱼肉蛋豆类等食物，深色蔬菜种类占蔬菜的1/2以上。主食品种达到2种以上，每餐供应1种以上杂粮。</w:t>
            </w:r>
          </w:p>
        </w:tc>
        <w:tc>
          <w:tcPr>
            <w:tcW w:w="848" w:type="pct"/>
            <w:vMerge w:val="restart"/>
            <w:tcBorders>
              <w:top w:val="single" w:color="auto" w:sz="4" w:space="0"/>
              <w:left w:val="nil"/>
              <w:bottom w:val="single" w:color="auto" w:sz="4" w:space="0"/>
              <w:right w:val="single" w:color="000000"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现场查看，查看资料</w:t>
            </w:r>
          </w:p>
        </w:tc>
        <w:tc>
          <w:tcPr>
            <w:tcW w:w="436"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16</w:t>
            </w:r>
          </w:p>
        </w:tc>
        <w:tc>
          <w:tcPr>
            <w:tcW w:w="894"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每餐菜肴品种达到12种，每周达到25种，加8分；深色蔬菜种类达到蔬菜的1/2以上，加4分；有杂粮供应，加4分。</w:t>
            </w:r>
          </w:p>
        </w:tc>
        <w:tc>
          <w:tcPr>
            <w:tcW w:w="355"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trPr>
          <w:trHeight w:val="855" w:hRule="atLeast"/>
        </w:trPr>
        <w:tc>
          <w:tcPr>
            <w:tcW w:w="576" w:type="pct"/>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1891" w:type="pct"/>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应提供可以选择大小份的主食及菜肴，套餐提供多种拼菜选择，供就餐者自由选择。</w:t>
            </w:r>
          </w:p>
        </w:tc>
        <w:tc>
          <w:tcPr>
            <w:tcW w:w="848" w:type="pct"/>
            <w:vMerge w:val="continue"/>
            <w:tcBorders>
              <w:top w:val="single" w:color="auto" w:sz="4" w:space="0"/>
              <w:left w:val="nil"/>
              <w:bottom w:val="single" w:color="auto" w:sz="4" w:space="0"/>
              <w:right w:val="single" w:color="000000" w:sz="4" w:space="0"/>
            </w:tcBorders>
            <w:vAlign w:val="center"/>
          </w:tcPr>
          <w:p>
            <w:pPr>
              <w:rPr>
                <w:szCs w:val="22"/>
              </w:rPr>
            </w:pPr>
          </w:p>
        </w:tc>
        <w:tc>
          <w:tcPr>
            <w:tcW w:w="436"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6</w:t>
            </w:r>
          </w:p>
        </w:tc>
        <w:tc>
          <w:tcPr>
            <w:tcW w:w="894"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有可选择大小份的主食及菜肴，加3分；套餐有多种拼菜选择，加3分。</w:t>
            </w:r>
          </w:p>
        </w:tc>
        <w:tc>
          <w:tcPr>
            <w:tcW w:w="355"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p>
        </w:tc>
      </w:tr>
      <w:tr>
        <w:trPr>
          <w:trHeight w:val="855" w:hRule="atLeast"/>
        </w:trPr>
        <w:tc>
          <w:tcPr>
            <w:tcW w:w="576" w:type="pct"/>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1891" w:type="pct"/>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应增加新鲜水果、奶类供应，避免高脂、高糖和碳酸饮料的供应。</w:t>
            </w:r>
          </w:p>
        </w:tc>
        <w:tc>
          <w:tcPr>
            <w:tcW w:w="848" w:type="pct"/>
            <w:vMerge w:val="continue"/>
            <w:tcBorders>
              <w:top w:val="single" w:color="auto" w:sz="4" w:space="0"/>
              <w:left w:val="nil"/>
              <w:bottom w:val="single" w:color="auto" w:sz="4" w:space="0"/>
              <w:right w:val="single" w:color="000000" w:sz="4" w:space="0"/>
            </w:tcBorders>
            <w:vAlign w:val="center"/>
          </w:tcPr>
          <w:p>
            <w:pPr>
              <w:rPr>
                <w:szCs w:val="22"/>
              </w:rPr>
            </w:pPr>
          </w:p>
        </w:tc>
        <w:tc>
          <w:tcPr>
            <w:tcW w:w="436"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6</w:t>
            </w:r>
          </w:p>
        </w:tc>
        <w:tc>
          <w:tcPr>
            <w:tcW w:w="894"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有新鲜水果、奶类供应，加3分；无高脂、高糖和碳酸饮料供应，加3分。</w:t>
            </w:r>
          </w:p>
        </w:tc>
        <w:tc>
          <w:tcPr>
            <w:tcW w:w="355"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rPr>
          <w:trHeight w:val="1680" w:hRule="atLeast"/>
        </w:trPr>
        <w:tc>
          <w:tcPr>
            <w:tcW w:w="576" w:type="pct"/>
            <w:vMerge w:val="restart"/>
            <w:tcBorders>
              <w:top w:val="nil"/>
              <w:left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油盐糖用量及烹调要求22分</w:t>
            </w:r>
          </w:p>
        </w:tc>
        <w:tc>
          <w:tcPr>
            <w:tcW w:w="1891" w:type="pct"/>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控制餐厅供餐的油盐用量，逐步减少菜肴的油、盐用量。低盐菜肴占菜品总量30%以上，少油菜肴占菜品总量30%以上。</w:t>
            </w:r>
          </w:p>
        </w:tc>
        <w:tc>
          <w:tcPr>
            <w:tcW w:w="848" w:type="pct"/>
            <w:vMerge w:val="restart"/>
            <w:tcBorders>
              <w:top w:val="nil"/>
              <w:left w:val="nil"/>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现场查看，查看资料</w:t>
            </w:r>
          </w:p>
        </w:tc>
        <w:tc>
          <w:tcPr>
            <w:tcW w:w="436"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8</w:t>
            </w:r>
          </w:p>
        </w:tc>
        <w:tc>
          <w:tcPr>
            <w:tcW w:w="894"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逐步减少菜肴的油、盐用量，加4分；低盐少油菜肴占比符合要求，加4分。</w:t>
            </w:r>
          </w:p>
        </w:tc>
        <w:tc>
          <w:tcPr>
            <w:tcW w:w="355"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rPr>
          <w:trHeight w:val="600" w:hRule="atLeast"/>
        </w:trPr>
        <w:tc>
          <w:tcPr>
            <w:tcW w:w="576" w:type="pct"/>
            <w:vMerge w:val="continue"/>
            <w:tcBorders>
              <w:left w:val="single" w:color="auto" w:sz="4" w:space="0"/>
              <w:right w:val="single" w:color="auto" w:sz="4" w:space="0"/>
            </w:tcBorders>
            <w:vAlign w:val="center"/>
          </w:tcPr>
          <w:p>
            <w:pPr>
              <w:rPr>
                <w:szCs w:val="22"/>
              </w:rPr>
            </w:pPr>
          </w:p>
        </w:tc>
        <w:tc>
          <w:tcPr>
            <w:tcW w:w="1891" w:type="pct"/>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多采用蒸、煮、炖等烹饪方法，少用油炸、煎、烟熏等烹饪方法，减少盐腌制、腊制、动物油脂类食物,油炸、盐腌、烟熏菜肴不超过菜品总量的20%；避免过多的能量、盐、脂肪，特别是饱和脂肪等的过量摄入。</w:t>
            </w:r>
          </w:p>
        </w:tc>
        <w:tc>
          <w:tcPr>
            <w:tcW w:w="848" w:type="pct"/>
            <w:vMerge w:val="continue"/>
            <w:tcBorders>
              <w:left w:val="nil"/>
              <w:right w:val="single" w:color="000000" w:sz="4" w:space="0"/>
            </w:tcBorders>
            <w:vAlign w:val="center"/>
          </w:tcPr>
          <w:p>
            <w:pPr>
              <w:rPr>
                <w:szCs w:val="22"/>
              </w:rPr>
            </w:pPr>
          </w:p>
        </w:tc>
        <w:tc>
          <w:tcPr>
            <w:tcW w:w="436"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6</w:t>
            </w:r>
          </w:p>
        </w:tc>
        <w:tc>
          <w:tcPr>
            <w:tcW w:w="894"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以蒸、煮、炖等烹饪方法为主，加3分；油炸、盐腌、烟熏菜肴不超过菜品总量的20%，加3分。</w:t>
            </w:r>
          </w:p>
        </w:tc>
        <w:tc>
          <w:tcPr>
            <w:tcW w:w="355"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rPr>
          <w:trHeight w:val="600" w:hRule="atLeast"/>
        </w:trPr>
        <w:tc>
          <w:tcPr>
            <w:tcW w:w="576" w:type="pct"/>
            <w:vMerge w:val="continue"/>
            <w:tcBorders>
              <w:left w:val="single" w:color="auto" w:sz="4" w:space="0"/>
              <w:right w:val="single" w:color="auto" w:sz="4" w:space="0"/>
            </w:tcBorders>
            <w:vAlign w:val="center"/>
          </w:tcPr>
          <w:p>
            <w:pPr>
              <w:rPr>
                <w:szCs w:val="22"/>
              </w:rPr>
            </w:pPr>
          </w:p>
        </w:tc>
        <w:tc>
          <w:tcPr>
            <w:tcW w:w="1891" w:type="pct"/>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凉拌蔬菜不提前用盐腌制，炒菜起锅时再加咸味调味品。</w:t>
            </w:r>
          </w:p>
        </w:tc>
        <w:tc>
          <w:tcPr>
            <w:tcW w:w="848" w:type="pct"/>
            <w:vMerge w:val="continue"/>
            <w:tcBorders>
              <w:left w:val="nil"/>
              <w:right w:val="single" w:color="000000" w:sz="4" w:space="0"/>
            </w:tcBorders>
            <w:vAlign w:val="center"/>
          </w:tcPr>
          <w:p>
            <w:pPr>
              <w:rPr>
                <w:szCs w:val="22"/>
              </w:rPr>
            </w:pPr>
          </w:p>
        </w:tc>
        <w:tc>
          <w:tcPr>
            <w:tcW w:w="436"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894"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凉拌蔬菜不提前用盐腌制，加1分；炒菜起锅时再加咸味调味品，加2分。</w:t>
            </w:r>
          </w:p>
        </w:tc>
        <w:tc>
          <w:tcPr>
            <w:tcW w:w="355"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p>
        </w:tc>
      </w:tr>
      <w:tr>
        <w:trPr>
          <w:trHeight w:val="600" w:hRule="atLeast"/>
        </w:trPr>
        <w:tc>
          <w:tcPr>
            <w:tcW w:w="576" w:type="pct"/>
            <w:vMerge w:val="continue"/>
            <w:tcBorders>
              <w:left w:val="single" w:color="auto" w:sz="4" w:space="0"/>
              <w:right w:val="single" w:color="auto" w:sz="4" w:space="0"/>
            </w:tcBorders>
            <w:vAlign w:val="center"/>
          </w:tcPr>
          <w:p>
            <w:pPr>
              <w:rPr>
                <w:szCs w:val="22"/>
              </w:rPr>
            </w:pPr>
          </w:p>
        </w:tc>
        <w:tc>
          <w:tcPr>
            <w:tcW w:w="1891" w:type="pct"/>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炖汤、炖肉时去掉浮油，减少需要过油处理的菜肴，盛盘时先控去多余的油。</w:t>
            </w:r>
          </w:p>
        </w:tc>
        <w:tc>
          <w:tcPr>
            <w:tcW w:w="848" w:type="pct"/>
            <w:vMerge w:val="continue"/>
            <w:tcBorders>
              <w:left w:val="nil"/>
              <w:right w:val="single" w:color="000000" w:sz="4" w:space="0"/>
            </w:tcBorders>
            <w:vAlign w:val="center"/>
          </w:tcPr>
          <w:p>
            <w:pPr>
              <w:rPr>
                <w:szCs w:val="22"/>
              </w:rPr>
            </w:pPr>
          </w:p>
        </w:tc>
        <w:tc>
          <w:tcPr>
            <w:tcW w:w="436"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894"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炖汤、炖肉时去掉浮油，加1分；盛盘时先控去多余的油，加2分。</w:t>
            </w:r>
          </w:p>
        </w:tc>
        <w:tc>
          <w:tcPr>
            <w:tcW w:w="355"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p>
        </w:tc>
      </w:tr>
      <w:tr>
        <w:trPr>
          <w:trHeight w:val="600" w:hRule="atLeast"/>
        </w:trPr>
        <w:tc>
          <w:tcPr>
            <w:tcW w:w="576" w:type="pct"/>
            <w:vMerge w:val="continue"/>
            <w:tcBorders>
              <w:left w:val="single" w:color="auto" w:sz="4" w:space="0"/>
              <w:bottom w:val="single" w:color="auto" w:sz="4" w:space="0"/>
              <w:right w:val="single" w:color="auto" w:sz="4" w:space="0"/>
            </w:tcBorders>
            <w:vAlign w:val="center"/>
          </w:tcPr>
          <w:p>
            <w:pPr>
              <w:rPr>
                <w:szCs w:val="22"/>
              </w:rPr>
            </w:pPr>
          </w:p>
        </w:tc>
        <w:tc>
          <w:tcPr>
            <w:tcW w:w="1891" w:type="pct"/>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不在豆浆和粥汤等加糖，就餐者有要求时再添加。</w:t>
            </w:r>
          </w:p>
        </w:tc>
        <w:tc>
          <w:tcPr>
            <w:tcW w:w="848" w:type="pct"/>
            <w:vMerge w:val="continue"/>
            <w:tcBorders>
              <w:left w:val="nil"/>
              <w:bottom w:val="single" w:color="auto" w:sz="4" w:space="0"/>
              <w:right w:val="single" w:color="000000" w:sz="4" w:space="0"/>
            </w:tcBorders>
            <w:vAlign w:val="center"/>
          </w:tcPr>
          <w:p>
            <w:pPr>
              <w:rPr>
                <w:szCs w:val="22"/>
              </w:rPr>
            </w:pPr>
          </w:p>
        </w:tc>
        <w:tc>
          <w:tcPr>
            <w:tcW w:w="436"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894"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未在豆浆和粥汤里加糖，加2分。</w:t>
            </w:r>
          </w:p>
        </w:tc>
        <w:tc>
          <w:tcPr>
            <w:tcW w:w="355"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p>
        </w:tc>
      </w:tr>
    </w:tbl>
    <w:p/>
    <w:p>
      <w:pPr>
        <w:pStyle w:val="4"/>
        <w:spacing w:before="156" w:beforeLines="50"/>
        <w:jc w:val="center"/>
      </w:pPr>
    </w:p>
    <w:p>
      <w:pPr>
        <w:pStyle w:val="4"/>
        <w:spacing w:before="156" w:beforeLines="50"/>
        <w:jc w:val="center"/>
        <w:rPr>
          <w:rFonts w:ascii="黑体" w:eastAsia="黑体"/>
          <w:sz w:val="21"/>
          <w:szCs w:val="21"/>
        </w:rPr>
      </w:pPr>
    </w:p>
    <w:p>
      <w:pPr>
        <w:pStyle w:val="4"/>
        <w:spacing w:before="156" w:beforeLines="50" w:after="156" w:afterLines="50"/>
        <w:jc w:val="center"/>
        <w:rPr>
          <w:rFonts w:ascii="黑体" w:eastAsia="黑体"/>
          <w:sz w:val="21"/>
          <w:szCs w:val="21"/>
        </w:rPr>
      </w:pPr>
      <w:r>
        <w:rPr>
          <w:rFonts w:hint="eastAsia" w:ascii="黑体" w:eastAsia="黑体"/>
          <w:sz w:val="21"/>
          <w:szCs w:val="21"/>
        </w:rPr>
        <w:t>表A.1(续)</w:t>
      </w:r>
    </w:p>
    <w:tbl>
      <w:tblPr>
        <w:tblStyle w:val="5"/>
        <w:tblW w:w="5000" w:type="pct"/>
        <w:tblInd w:w="0" w:type="dxa"/>
        <w:tblBorders>
          <w:top w:val="single" w:color="auto" w:sz="4" w:space="0"/>
          <w:left w:val="none" w:color="auto" w:sz="4" w:space="0"/>
          <w:bottom w:val="singl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982"/>
        <w:gridCol w:w="3221"/>
        <w:gridCol w:w="1447"/>
        <w:gridCol w:w="741"/>
        <w:gridCol w:w="1525"/>
        <w:gridCol w:w="606"/>
      </w:tblGrid>
      <w:tr>
        <w:trPr>
          <w:trHeight w:val="630" w:hRule="atLeast"/>
        </w:trPr>
        <w:tc>
          <w:tcPr>
            <w:tcW w:w="576" w:type="pct"/>
            <w:tcBorders>
              <w:left w:val="single" w:color="auto" w:sz="4" w:space="0"/>
              <w:bottom w:val="single" w:color="000000"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b/>
                <w:bCs/>
                <w:color w:val="000000"/>
                <w:kern w:val="0"/>
                <w:sz w:val="18"/>
                <w:szCs w:val="18"/>
              </w:rPr>
              <w:t>项目</w:t>
            </w:r>
          </w:p>
        </w:tc>
        <w:tc>
          <w:tcPr>
            <w:tcW w:w="1890" w:type="pct"/>
            <w:tcBorders>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b/>
                <w:bCs/>
                <w:color w:val="000000"/>
                <w:kern w:val="0"/>
                <w:sz w:val="18"/>
                <w:szCs w:val="18"/>
              </w:rPr>
              <w:t>建设内容</w:t>
            </w:r>
          </w:p>
        </w:tc>
        <w:tc>
          <w:tcPr>
            <w:tcW w:w="848" w:type="pct"/>
            <w:tcBorders>
              <w:left w:val="nil"/>
              <w:bottom w:val="single" w:color="auto" w:sz="4" w:space="0"/>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b/>
                <w:bCs/>
                <w:color w:val="000000"/>
                <w:kern w:val="0"/>
                <w:sz w:val="18"/>
                <w:szCs w:val="18"/>
              </w:rPr>
              <w:t>评估方法</w:t>
            </w:r>
          </w:p>
        </w:tc>
        <w:tc>
          <w:tcPr>
            <w:tcW w:w="435" w:type="pct"/>
            <w:tcBorders>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b/>
                <w:bCs/>
                <w:color w:val="000000"/>
                <w:kern w:val="0"/>
                <w:sz w:val="18"/>
                <w:szCs w:val="18"/>
              </w:rPr>
              <w:t>满分值</w:t>
            </w:r>
          </w:p>
        </w:tc>
        <w:tc>
          <w:tcPr>
            <w:tcW w:w="895" w:type="pct"/>
            <w:tcBorders>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b/>
                <w:bCs/>
                <w:color w:val="000000"/>
                <w:kern w:val="0"/>
                <w:sz w:val="18"/>
                <w:szCs w:val="18"/>
              </w:rPr>
              <w:t>评估标准</w:t>
            </w:r>
          </w:p>
        </w:tc>
        <w:tc>
          <w:tcPr>
            <w:tcW w:w="355" w:type="pct"/>
            <w:tcBorders>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b/>
                <w:bCs/>
                <w:color w:val="000000"/>
                <w:kern w:val="0"/>
                <w:sz w:val="18"/>
                <w:szCs w:val="18"/>
              </w:rPr>
              <w:t>得分</w:t>
            </w:r>
          </w:p>
        </w:tc>
      </w:tr>
      <w:tr>
        <w:trPr>
          <w:trHeight w:val="630" w:hRule="atLeast"/>
        </w:trPr>
        <w:tc>
          <w:tcPr>
            <w:tcW w:w="576" w:type="pct"/>
            <w:vMerge w:val="restart"/>
            <w:tcBorders>
              <w:left w:val="single" w:color="auto" w:sz="4" w:space="0"/>
              <w:bottom w:val="single" w:color="000000"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营养标识要求10分</w:t>
            </w:r>
          </w:p>
        </w:tc>
        <w:tc>
          <w:tcPr>
            <w:tcW w:w="1890" w:type="pct"/>
            <w:tcBorders>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对菜肴进行营养成分或营养声称标示时，应标示能量、蛋白质、脂肪、碳水化合物、食用盐、食用油含量。</w:t>
            </w:r>
          </w:p>
        </w:tc>
        <w:tc>
          <w:tcPr>
            <w:tcW w:w="848" w:type="pct"/>
            <w:vMerge w:val="restart"/>
            <w:tcBorders>
              <w:left w:val="nil"/>
              <w:bottom w:val="single" w:color="auto" w:sz="4" w:space="0"/>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现场查看，查看资料</w:t>
            </w:r>
          </w:p>
        </w:tc>
        <w:tc>
          <w:tcPr>
            <w:tcW w:w="435" w:type="pct"/>
            <w:tcBorders>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6</w:t>
            </w:r>
          </w:p>
        </w:tc>
        <w:tc>
          <w:tcPr>
            <w:tcW w:w="895" w:type="pct"/>
            <w:tcBorders>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有标示，加3分；标示达所有菜品的50%以上，加3分。</w:t>
            </w:r>
          </w:p>
        </w:tc>
        <w:tc>
          <w:tcPr>
            <w:tcW w:w="355" w:type="pct"/>
            <w:tcBorders>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rPr>
          <w:trHeight w:val="630" w:hRule="atLeast"/>
        </w:trPr>
        <w:tc>
          <w:tcPr>
            <w:tcW w:w="576" w:type="pct"/>
            <w:vMerge w:val="continue"/>
            <w:tcBorders>
              <w:top w:val="nil"/>
              <w:left w:val="single" w:color="auto" w:sz="4" w:space="0"/>
              <w:bottom w:val="single" w:color="000000" w:sz="4" w:space="0"/>
              <w:right w:val="single" w:color="auto" w:sz="4" w:space="0"/>
            </w:tcBorders>
            <w:vAlign w:val="center"/>
          </w:tcPr>
          <w:p>
            <w:pPr>
              <w:rPr>
                <w:szCs w:val="22"/>
              </w:rPr>
            </w:pPr>
          </w:p>
        </w:tc>
        <w:tc>
          <w:tcPr>
            <w:tcW w:w="1890" w:type="pct"/>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菜肴营养标签中营养成分标示应以菜肴原料每例/份中的含量，或每100克（毫升）数值标示。</w:t>
            </w:r>
          </w:p>
        </w:tc>
        <w:tc>
          <w:tcPr>
            <w:tcW w:w="848" w:type="pct"/>
            <w:vMerge w:val="continue"/>
            <w:tcBorders>
              <w:top w:val="nil"/>
              <w:left w:val="nil"/>
              <w:bottom w:val="single" w:color="auto" w:sz="4" w:space="0"/>
              <w:right w:val="single" w:color="000000" w:sz="4" w:space="0"/>
            </w:tcBorders>
            <w:vAlign w:val="center"/>
          </w:tcPr>
          <w:p>
            <w:pPr>
              <w:rPr>
                <w:szCs w:val="22"/>
              </w:rPr>
            </w:pPr>
          </w:p>
        </w:tc>
        <w:tc>
          <w:tcPr>
            <w:tcW w:w="435"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w:t>
            </w:r>
          </w:p>
        </w:tc>
        <w:tc>
          <w:tcPr>
            <w:tcW w:w="895"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标示符合要求加4分。</w:t>
            </w:r>
          </w:p>
        </w:tc>
        <w:tc>
          <w:tcPr>
            <w:tcW w:w="355" w:type="pc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rPr>
          <w:trHeight w:val="855" w:hRule="atLeast"/>
        </w:trPr>
        <w:tc>
          <w:tcPr>
            <w:tcW w:w="576" w:type="pct"/>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建设效果评价要求10分</w:t>
            </w:r>
          </w:p>
        </w:tc>
        <w:tc>
          <w:tcPr>
            <w:tcW w:w="1890"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在营养餐厅建设过程中，应记录并统计用油、用盐量及用餐人次数，考核餐厅控盐控油的效果，对照食用油推荐量（25-30克/人.天）、食盐推荐量（6克/人.天）的标准进行评价。</w:t>
            </w:r>
          </w:p>
        </w:tc>
        <w:tc>
          <w:tcPr>
            <w:tcW w:w="848" w:type="pct"/>
            <w:vMerge w:val="restart"/>
            <w:tcBorders>
              <w:top w:val="single" w:color="auto" w:sz="4" w:space="0"/>
              <w:left w:val="nil"/>
              <w:bottom w:val="single" w:color="auto" w:sz="4" w:space="0"/>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现场查看，查看资料</w:t>
            </w:r>
          </w:p>
        </w:tc>
        <w:tc>
          <w:tcPr>
            <w:tcW w:w="435"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w:t>
            </w:r>
          </w:p>
        </w:tc>
        <w:tc>
          <w:tcPr>
            <w:tcW w:w="895"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符合要求酌情加分。</w:t>
            </w:r>
          </w:p>
        </w:tc>
        <w:tc>
          <w:tcPr>
            <w:tcW w:w="355"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rPr>
          <w:trHeight w:val="936" w:hRule="atLeast"/>
        </w:trPr>
        <w:tc>
          <w:tcPr>
            <w:tcW w:w="576" w:type="pct"/>
            <w:vMerge w:val="continue"/>
            <w:tcBorders>
              <w:top w:val="single" w:color="auto" w:sz="4" w:space="0"/>
              <w:left w:val="single" w:color="auto" w:sz="4" w:space="0"/>
              <w:bottom w:val="single" w:color="000000" w:sz="4" w:space="0"/>
              <w:right w:val="single" w:color="auto" w:sz="4" w:space="0"/>
            </w:tcBorders>
            <w:vAlign w:val="center"/>
          </w:tcPr>
          <w:p>
            <w:pPr>
              <w:rPr>
                <w:szCs w:val="22"/>
              </w:rPr>
            </w:pPr>
          </w:p>
        </w:tc>
        <w:tc>
          <w:tcPr>
            <w:tcW w:w="1890" w:type="pc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收集就餐者在营养餐厅就餐后的公共营养知识、态度和行为（KAP）以及餐厅满意度等变化情况。</w:t>
            </w:r>
          </w:p>
        </w:tc>
        <w:tc>
          <w:tcPr>
            <w:tcW w:w="848" w:type="pct"/>
            <w:vMerge w:val="continue"/>
            <w:tcBorders>
              <w:top w:val="single" w:color="auto" w:sz="4" w:space="0"/>
              <w:left w:val="nil"/>
              <w:bottom w:val="single" w:color="auto" w:sz="4" w:space="0"/>
              <w:right w:val="single" w:color="000000" w:sz="4" w:space="0"/>
            </w:tcBorders>
            <w:vAlign w:val="center"/>
          </w:tcPr>
          <w:p>
            <w:pPr>
              <w:rPr>
                <w:szCs w:val="22"/>
              </w:rPr>
            </w:pPr>
          </w:p>
        </w:tc>
        <w:tc>
          <w:tcPr>
            <w:tcW w:w="435" w:type="pct"/>
            <w:tcBorders>
              <w:top w:val="nil"/>
              <w:left w:val="single" w:color="000000"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895"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kern w:val="0"/>
                <w:sz w:val="18"/>
                <w:szCs w:val="18"/>
              </w:rPr>
              <w:t>符合要求酌情加分。</w:t>
            </w:r>
          </w:p>
        </w:tc>
        <w:tc>
          <w:tcPr>
            <w:tcW w:w="355"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trPr>
          <w:trHeight w:val="555" w:hRule="atLeast"/>
        </w:trPr>
        <w:tc>
          <w:tcPr>
            <w:tcW w:w="576" w:type="pct"/>
            <w:vMerge w:val="continue"/>
            <w:tcBorders>
              <w:top w:val="single" w:color="auto" w:sz="4" w:space="0"/>
              <w:left w:val="single" w:color="auto" w:sz="4" w:space="0"/>
              <w:bottom w:val="single" w:color="000000" w:sz="4" w:space="0"/>
              <w:right w:val="single" w:color="auto" w:sz="4" w:space="0"/>
            </w:tcBorders>
            <w:vAlign w:val="center"/>
          </w:tcPr>
          <w:p>
            <w:pPr>
              <w:rPr>
                <w:szCs w:val="22"/>
              </w:rPr>
            </w:pPr>
          </w:p>
        </w:tc>
        <w:tc>
          <w:tcPr>
            <w:tcW w:w="1890" w:type="pc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对餐厅从业人员进行考核，其膳食营养知识知晓率及行为改变率应达到</w:t>
            </w:r>
            <w:r>
              <w:rPr>
                <w:rFonts w:hint="eastAsia" w:ascii="宋体" w:hAnsi="宋体" w:cs="Calibri"/>
                <w:color w:val="000000"/>
                <w:kern w:val="0"/>
                <w:sz w:val="18"/>
                <w:szCs w:val="18"/>
              </w:rPr>
              <w:t>85%</w:t>
            </w:r>
            <w:r>
              <w:rPr>
                <w:rFonts w:hint="eastAsia" w:ascii="宋体" w:hAnsi="宋体" w:cs="宋体"/>
                <w:color w:val="000000"/>
                <w:kern w:val="0"/>
                <w:sz w:val="18"/>
                <w:szCs w:val="18"/>
              </w:rPr>
              <w:t>以上。</w:t>
            </w:r>
          </w:p>
        </w:tc>
        <w:tc>
          <w:tcPr>
            <w:tcW w:w="848" w:type="pct"/>
            <w:vMerge w:val="continue"/>
            <w:tcBorders>
              <w:top w:val="single" w:color="auto" w:sz="4" w:space="0"/>
              <w:left w:val="nil"/>
              <w:bottom w:val="single" w:color="auto" w:sz="4" w:space="0"/>
              <w:right w:val="single" w:color="000000" w:sz="4" w:space="0"/>
            </w:tcBorders>
            <w:vAlign w:val="center"/>
          </w:tcPr>
          <w:p>
            <w:pPr>
              <w:rPr>
                <w:szCs w:val="22"/>
              </w:rPr>
            </w:pPr>
          </w:p>
        </w:tc>
        <w:tc>
          <w:tcPr>
            <w:tcW w:w="435" w:type="pct"/>
            <w:tcBorders>
              <w:top w:val="nil"/>
              <w:left w:val="single" w:color="000000"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895"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kern w:val="0"/>
                <w:sz w:val="18"/>
                <w:szCs w:val="18"/>
              </w:rPr>
              <w:t>符合要求酌情加分。</w:t>
            </w:r>
          </w:p>
        </w:tc>
        <w:tc>
          <w:tcPr>
            <w:tcW w:w="355"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trPr>
          <w:trHeight w:val="555" w:hRule="atLeast"/>
        </w:trPr>
        <w:tc>
          <w:tcPr>
            <w:tcW w:w="576" w:type="pct"/>
            <w:vMerge w:val="restart"/>
            <w:tcBorders>
              <w:top w:val="nil"/>
              <w:left w:val="single" w:color="auto" w:sz="4" w:space="0"/>
              <w:bottom w:val="single" w:color="000000" w:sz="4" w:space="0"/>
              <w:right w:val="single" w:color="auto" w:sz="4" w:space="0"/>
            </w:tcBorders>
            <w:vAlign w:val="center"/>
          </w:tcPr>
          <w:p>
            <w:pPr>
              <w:jc w:val="center"/>
              <w:rPr>
                <w:rFonts w:ascii="宋体" w:hAnsi="宋体" w:cs="宋体"/>
                <w:color w:val="000000"/>
                <w:kern w:val="0"/>
                <w:sz w:val="18"/>
                <w:szCs w:val="18"/>
              </w:rPr>
            </w:pPr>
            <w:r>
              <w:rPr>
                <w:rFonts w:hint="eastAsia" w:ascii="宋体" w:hAnsi="宋体" w:cs="宋体"/>
                <w:color w:val="000000"/>
                <w:kern w:val="0"/>
                <w:sz w:val="18"/>
                <w:szCs w:val="18"/>
              </w:rPr>
              <w:t>加分项</w:t>
            </w:r>
          </w:p>
        </w:tc>
        <w:tc>
          <w:tcPr>
            <w:tcW w:w="1890" w:type="pc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以餐厅为主体，可开展从业人员营养健康厨艺比赛、膳食知识比赛等活动，提高从业人员营养技能。</w:t>
            </w:r>
          </w:p>
        </w:tc>
        <w:tc>
          <w:tcPr>
            <w:tcW w:w="848" w:type="pct"/>
            <w:vMerge w:val="restar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p>
          <w:p>
            <w:pPr>
              <w:jc w:val="center"/>
              <w:rPr>
                <w:rFonts w:ascii="宋体" w:hAnsi="宋体" w:cs="宋体"/>
                <w:color w:val="000000"/>
                <w:kern w:val="0"/>
                <w:sz w:val="18"/>
                <w:szCs w:val="18"/>
              </w:rPr>
            </w:pPr>
            <w:r>
              <w:rPr>
                <w:rFonts w:hint="eastAsia" w:ascii="宋体" w:hAnsi="宋体" w:cs="宋体"/>
                <w:color w:val="000000"/>
                <w:kern w:val="0"/>
                <w:sz w:val="18"/>
                <w:szCs w:val="18"/>
              </w:rPr>
              <w:t>现场查看，查看资料</w:t>
            </w:r>
          </w:p>
        </w:tc>
        <w:tc>
          <w:tcPr>
            <w:tcW w:w="435"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895"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按情况加分。</w:t>
            </w:r>
          </w:p>
        </w:tc>
        <w:tc>
          <w:tcPr>
            <w:tcW w:w="355"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trPr>
          <w:trHeight w:val="840" w:hRule="atLeast"/>
        </w:trPr>
        <w:tc>
          <w:tcPr>
            <w:tcW w:w="576" w:type="pct"/>
            <w:vMerge w:val="continue"/>
            <w:tcBorders>
              <w:top w:val="nil"/>
              <w:left w:val="single" w:color="auto" w:sz="4" w:space="0"/>
              <w:bottom w:val="single" w:color="000000" w:sz="4" w:space="0"/>
              <w:right w:val="single" w:color="auto" w:sz="4" w:space="0"/>
            </w:tcBorders>
            <w:vAlign w:val="center"/>
          </w:tcPr>
          <w:p>
            <w:pPr>
              <w:rPr>
                <w:szCs w:val="22"/>
              </w:rPr>
            </w:pPr>
          </w:p>
        </w:tc>
        <w:tc>
          <w:tcPr>
            <w:tcW w:w="1890" w:type="pc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可根据不同人群的健康需要，主动提供特殊需要人群膳食（如低能量、低脂肪、低钠盐、低GI、低嘌呤等膳食），制定适合不同年龄、性别、生理状况人群的营养配餐食谱。</w:t>
            </w:r>
          </w:p>
        </w:tc>
        <w:tc>
          <w:tcPr>
            <w:tcW w:w="848" w:type="pct"/>
            <w:vMerge w:val="continue"/>
            <w:tcBorders>
              <w:top w:val="nil"/>
              <w:left w:val="nil"/>
              <w:bottom w:val="single" w:color="auto" w:sz="4" w:space="0"/>
              <w:right w:val="single" w:color="auto" w:sz="4" w:space="0"/>
            </w:tcBorders>
            <w:vAlign w:val="center"/>
          </w:tcPr>
          <w:p>
            <w:pPr>
              <w:rPr>
                <w:szCs w:val="22"/>
              </w:rPr>
            </w:pPr>
          </w:p>
        </w:tc>
        <w:tc>
          <w:tcPr>
            <w:tcW w:w="43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895"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按情况加分。</w:t>
            </w:r>
          </w:p>
        </w:tc>
        <w:tc>
          <w:tcPr>
            <w:tcW w:w="355"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trPr>
          <w:trHeight w:val="690" w:hRule="atLeast"/>
        </w:trPr>
        <w:tc>
          <w:tcPr>
            <w:tcW w:w="576" w:type="pct"/>
            <w:vMerge w:val="continue"/>
            <w:tcBorders>
              <w:top w:val="nil"/>
              <w:left w:val="single" w:color="auto" w:sz="4" w:space="0"/>
              <w:bottom w:val="single" w:color="000000" w:sz="4" w:space="0"/>
              <w:right w:val="single" w:color="auto" w:sz="4" w:space="0"/>
            </w:tcBorders>
            <w:vAlign w:val="center"/>
          </w:tcPr>
          <w:p>
            <w:pPr>
              <w:rPr>
                <w:szCs w:val="22"/>
              </w:rPr>
            </w:pPr>
          </w:p>
        </w:tc>
        <w:tc>
          <w:tcPr>
            <w:tcW w:w="1890" w:type="pc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鼓励标示营养成分含量占营养素参考值（NRV）的百分比或推荐值。</w:t>
            </w:r>
          </w:p>
        </w:tc>
        <w:tc>
          <w:tcPr>
            <w:tcW w:w="848" w:type="pct"/>
            <w:vMerge w:val="continue"/>
            <w:tcBorders>
              <w:top w:val="nil"/>
              <w:left w:val="nil"/>
              <w:bottom w:val="single" w:color="auto" w:sz="4" w:space="0"/>
              <w:right w:val="single" w:color="auto" w:sz="4" w:space="0"/>
            </w:tcBorders>
            <w:vAlign w:val="center"/>
          </w:tcPr>
          <w:p>
            <w:pPr>
              <w:rPr>
                <w:szCs w:val="22"/>
              </w:rPr>
            </w:pPr>
          </w:p>
        </w:tc>
        <w:tc>
          <w:tcPr>
            <w:tcW w:w="435"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895"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按情况加分。</w:t>
            </w:r>
          </w:p>
        </w:tc>
        <w:tc>
          <w:tcPr>
            <w:tcW w:w="355"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trPr>
          <w:trHeight w:val="855" w:hRule="atLeast"/>
        </w:trPr>
        <w:tc>
          <w:tcPr>
            <w:tcW w:w="576" w:type="pct"/>
            <w:vMerge w:val="continue"/>
            <w:tcBorders>
              <w:top w:val="nil"/>
              <w:left w:val="single" w:color="auto" w:sz="4" w:space="0"/>
              <w:bottom w:val="single" w:color="000000" w:sz="4" w:space="0"/>
              <w:right w:val="single" w:color="auto" w:sz="4" w:space="0"/>
            </w:tcBorders>
            <w:vAlign w:val="center"/>
          </w:tcPr>
          <w:p>
            <w:pPr>
              <w:rPr>
                <w:szCs w:val="22"/>
              </w:rPr>
            </w:pPr>
          </w:p>
        </w:tc>
        <w:tc>
          <w:tcPr>
            <w:tcW w:w="1890" w:type="pct"/>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推荐标示以下的营养成分，主要包括饱和脂肪（酸）、胆固醇、糖、膳食纤维等与人体健康关系重要的营养成分。</w:t>
            </w:r>
          </w:p>
        </w:tc>
        <w:tc>
          <w:tcPr>
            <w:tcW w:w="848" w:type="pct"/>
            <w:vMerge w:val="continue"/>
            <w:tcBorders>
              <w:top w:val="nil"/>
              <w:left w:val="nil"/>
              <w:bottom w:val="single" w:color="auto" w:sz="4" w:space="0"/>
              <w:right w:val="single" w:color="auto" w:sz="4" w:space="0"/>
            </w:tcBorders>
            <w:vAlign w:val="center"/>
          </w:tcPr>
          <w:p>
            <w:pPr>
              <w:rPr>
                <w:szCs w:val="22"/>
              </w:rPr>
            </w:pPr>
          </w:p>
        </w:tc>
        <w:tc>
          <w:tcPr>
            <w:tcW w:w="435"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895" w:type="pct"/>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按情况加分。</w:t>
            </w:r>
          </w:p>
        </w:tc>
        <w:tc>
          <w:tcPr>
            <w:tcW w:w="355" w:type="pc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trPr>
          <w:trHeight w:val="796" w:hRule="atLeast"/>
        </w:trPr>
        <w:tc>
          <w:tcPr>
            <w:tcW w:w="576" w:type="pct"/>
            <w:tcBorders>
              <w:top w:val="nil"/>
              <w:left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2739" w:type="pct"/>
            <w:gridSpan w:val="2"/>
            <w:tcBorders>
              <w:top w:val="nil"/>
              <w:left w:val="nil"/>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1330" w:type="pct"/>
            <w:gridSpan w:val="2"/>
            <w:tcBorders>
              <w:top w:val="single" w:color="auto" w:sz="4" w:space="0"/>
              <w:left w:val="nil"/>
              <w:right w:val="single" w:color="000000"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总分100分（另有加分项共计25分）</w:t>
            </w:r>
          </w:p>
        </w:tc>
        <w:tc>
          <w:tcPr>
            <w:tcW w:w="355" w:type="pct"/>
            <w:tcBorders>
              <w:top w:val="nil"/>
              <w:left w:val="nil"/>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bl>
    <w:p>
      <w:pPr>
        <w:pStyle w:val="8"/>
      </w:pPr>
    </w:p>
    <w:p>
      <w:pPr>
        <w:ind w:firstLine="410"/>
        <w:jc w:val="left"/>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方正仿宋_GBK">
    <w:panose1 w:val="02000000000000000000"/>
    <w:charset w:val="86"/>
    <w:family w:val="auto"/>
    <w:pitch w:val="default"/>
    <w:sig w:usb0="00000000" w:usb1="00000000" w:usb2="00000000" w:usb3="00000000" w:csb0="00160000" w:csb1="00000000"/>
  </w:font>
  <w:font w:name="方正小标宋简体">
    <w:altName w:val="汉仪书宋二KW"/>
    <w:panose1 w:val="02010601030101010101"/>
    <w:charset w:val="86"/>
    <w:family w:val="auto"/>
    <w:pitch w:val="default"/>
    <w:sig w:usb0="00000000" w:usb1="00000000" w:usb2="00000000" w:usb3="00000000" w:csb0="00040000" w:csb1="00000000"/>
  </w:font>
  <w:font w:name="方正仿宋简体">
    <w:altName w:val="方正仿宋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altName w:val="汉仪中黑KW"/>
    <w:panose1 w:val="03000509000000000000"/>
    <w:charset w:val="86"/>
    <w:family w:val="auto"/>
    <w:pitch w:val="default"/>
    <w:sig w:usb0="00000000" w:usb1="00000000" w:usb2="00000000" w:usb3="00000000" w:csb0="00040000" w:csb1="00000000"/>
  </w:font>
  <w:font w:name="儷宋 Pro">
    <w:panose1 w:val="02020300000000000000"/>
    <w:charset w:val="86"/>
    <w:family w:val="auto"/>
    <w:pitch w:val="default"/>
    <w:sig w:usb0="00000000" w:usb1="00000000" w:usb2="00000000" w:usb3="00000000" w:csb0="0016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M6pebnPAAAABQEAAA8AAAAAAAAA&#10;AQAgAAAAOAAAAGRycy9kb3ducmV2LnhtbFBLAQIUABQAAAAIAIdO4kBKlyLzywEAAJwDAAAOAAAA&#10;AAAAAAEAIAAAADQBAABkcnMvZTJvRG9jLnhtbFBLBQYAAAAABgAGAFkBAABxBQAAAAA=&#10;">
              <v:fill on="f" focussize="0,0"/>
              <v:stroke on="f"/>
              <v:imagedata o:title=""/>
              <o:lock v:ext="edit" aspectratio="f"/>
              <v:textbox inset="0mm,0mm,0mm,0mm" style="mso-fit-shape-to-text:t;">
                <w:txbxContent>
                  <w:p>
                    <w:pPr>
                      <w:pStyle w:val="2"/>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7"/>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9"/>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11"/>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A8F7113"/>
    <w:multiLevelType w:val="multilevel"/>
    <w:tmpl w:val="2A8F7113"/>
    <w:lvl w:ilvl="0" w:tentative="0">
      <w:start w:val="1"/>
      <w:numFmt w:val="upperLetter"/>
      <w:pStyle w:val="13"/>
      <w:suff w:val="space"/>
      <w:lvlText w:val="%1"/>
      <w:lvlJc w:val="left"/>
      <w:pPr>
        <w:ind w:left="623" w:hanging="425"/>
      </w:pPr>
      <w:rPr>
        <w:rFonts w:hint="eastAsia"/>
      </w:rPr>
    </w:lvl>
    <w:lvl w:ilvl="1" w:tentative="0">
      <w:start w:val="1"/>
      <w:numFmt w:val="decimal"/>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2">
    <w:nsid w:val="60B55DC2"/>
    <w:multiLevelType w:val="multilevel"/>
    <w:tmpl w:val="60B55DC2"/>
    <w:lvl w:ilvl="0" w:tentative="0">
      <w:start w:val="1"/>
      <w:numFmt w:val="upperLetter"/>
      <w:pStyle w:val="14"/>
      <w:lvlText w:val="%1"/>
      <w:lvlJc w:val="left"/>
      <w:pPr>
        <w:tabs>
          <w:tab w:val="left" w:pos="0"/>
        </w:tabs>
        <w:ind w:left="0" w:hanging="425"/>
      </w:pPr>
      <w:rPr>
        <w:rFonts w:hint="eastAsia"/>
      </w:rPr>
    </w:lvl>
    <w:lvl w:ilvl="1" w:tentative="0">
      <w:start w:val="1"/>
      <w:numFmt w:val="decimal"/>
      <w:pStyle w:val="16"/>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3">
    <w:nsid w:val="657D3FBC"/>
    <w:multiLevelType w:val="multilevel"/>
    <w:tmpl w:val="657D3FBC"/>
    <w:lvl w:ilvl="0" w:tentative="0">
      <w:start w:val="1"/>
      <w:numFmt w:val="upperLetter"/>
      <w:pStyle w:val="15"/>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EAC"/>
    <w:rsid w:val="001A0EAC"/>
    <w:rsid w:val="001C6DB6"/>
    <w:rsid w:val="00237012"/>
    <w:rsid w:val="002478C1"/>
    <w:rsid w:val="00354D9B"/>
    <w:rsid w:val="003F1508"/>
    <w:rsid w:val="003F68BA"/>
    <w:rsid w:val="004A59EA"/>
    <w:rsid w:val="005361E6"/>
    <w:rsid w:val="00556C62"/>
    <w:rsid w:val="006C02B7"/>
    <w:rsid w:val="00BE724E"/>
    <w:rsid w:val="00CF7369"/>
    <w:rsid w:val="01976B7D"/>
    <w:rsid w:val="01A928AB"/>
    <w:rsid w:val="0A847D04"/>
    <w:rsid w:val="0B4007B8"/>
    <w:rsid w:val="110E521A"/>
    <w:rsid w:val="12F81448"/>
    <w:rsid w:val="16602FAE"/>
    <w:rsid w:val="18D82998"/>
    <w:rsid w:val="1AA37521"/>
    <w:rsid w:val="1AC15CD9"/>
    <w:rsid w:val="1F047073"/>
    <w:rsid w:val="20AB0646"/>
    <w:rsid w:val="28273890"/>
    <w:rsid w:val="29987CDF"/>
    <w:rsid w:val="2A2E72E8"/>
    <w:rsid w:val="2CB81E3B"/>
    <w:rsid w:val="2F0540D1"/>
    <w:rsid w:val="31FA1D1A"/>
    <w:rsid w:val="373A29E4"/>
    <w:rsid w:val="394D606E"/>
    <w:rsid w:val="3D552D18"/>
    <w:rsid w:val="3DEC5EB7"/>
    <w:rsid w:val="3DFB1E9F"/>
    <w:rsid w:val="436D02B6"/>
    <w:rsid w:val="47934316"/>
    <w:rsid w:val="4B8C3982"/>
    <w:rsid w:val="4DFC2636"/>
    <w:rsid w:val="4EE66076"/>
    <w:rsid w:val="54830512"/>
    <w:rsid w:val="5559786F"/>
    <w:rsid w:val="5FD74AE0"/>
    <w:rsid w:val="62117C32"/>
    <w:rsid w:val="67A47DC2"/>
    <w:rsid w:val="686A7AB0"/>
    <w:rsid w:val="6A307D1F"/>
    <w:rsid w:val="6C10653F"/>
    <w:rsid w:val="6D345865"/>
    <w:rsid w:val="6E2A287D"/>
    <w:rsid w:val="6E632FAC"/>
    <w:rsid w:val="6ECD553F"/>
    <w:rsid w:val="721A339D"/>
    <w:rsid w:val="7AAF7B51"/>
    <w:rsid w:val="7CD27B7D"/>
    <w:rsid w:val="FF3F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pPr>
    <w:rPr>
      <w:sz w:val="18"/>
      <w:szCs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widowControl/>
      <w:spacing w:before="100" w:beforeAutospacing="1" w:after="100" w:afterAutospacing="1"/>
      <w:jc w:val="left"/>
    </w:pPr>
    <w:rPr>
      <w:rFonts w:ascii="宋体" w:hAnsi="宋体" w:eastAsia="宋体" w:cs="宋体"/>
      <w:kern w:val="0"/>
      <w:sz w:val="24"/>
    </w:rPr>
  </w:style>
  <w:style w:type="paragraph" w:customStyle="1" w:styleId="7">
    <w:name w:val="章标题"/>
    <w:next w:val="8"/>
    <w:qFormat/>
    <w:uiPriority w:val="0"/>
    <w:pPr>
      <w:numPr>
        <w:ilvl w:val="0"/>
        <w:numId w:val="1"/>
      </w:numPr>
      <w:spacing w:beforeLines="100" w:afterLines="100"/>
      <w:jc w:val="both"/>
      <w:outlineLvl w:val="1"/>
    </w:pPr>
    <w:rPr>
      <w:rFonts w:ascii="黑体" w:hAnsi="Times New Roman" w:eastAsia="黑体" w:cs="Times New Roman"/>
      <w:sz w:val="21"/>
      <w:lang w:val="en-US" w:eastAsia="zh-CN" w:bidi="ar-SA"/>
    </w:rPr>
  </w:style>
  <w:style w:type="paragraph" w:customStyle="1" w:styleId="8">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9">
    <w:name w:val="一级条标题"/>
    <w:next w:val="8"/>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10">
    <w:name w:val="二级无"/>
    <w:basedOn w:val="11"/>
    <w:qFormat/>
    <w:uiPriority w:val="0"/>
    <w:pPr>
      <w:spacing w:beforeLines="0" w:afterLines="0"/>
    </w:pPr>
    <w:rPr>
      <w:rFonts w:ascii="宋体" w:eastAsia="宋体"/>
    </w:rPr>
  </w:style>
  <w:style w:type="paragraph" w:customStyle="1" w:styleId="11">
    <w:name w:val="二级条标题"/>
    <w:basedOn w:val="9"/>
    <w:next w:val="8"/>
    <w:qFormat/>
    <w:uiPriority w:val="0"/>
    <w:pPr>
      <w:numPr>
        <w:ilvl w:val="2"/>
      </w:numPr>
      <w:spacing w:before="50" w:after="50"/>
      <w:outlineLvl w:val="3"/>
    </w:pPr>
  </w:style>
  <w:style w:type="paragraph" w:customStyle="1" w:styleId="12">
    <w:name w:val="目次、标准名称标题"/>
    <w:basedOn w:val="1"/>
    <w:next w:val="8"/>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13">
    <w:name w:val="附录图标号"/>
    <w:basedOn w:val="1"/>
    <w:qFormat/>
    <w:uiPriority w:val="0"/>
    <w:pPr>
      <w:keepNext/>
      <w:pageBreakBefore/>
      <w:widowControl/>
      <w:numPr>
        <w:ilvl w:val="0"/>
        <w:numId w:val="2"/>
      </w:numPr>
      <w:spacing w:line="14" w:lineRule="exact"/>
      <w:ind w:left="0" w:firstLine="363"/>
      <w:jc w:val="center"/>
      <w:outlineLvl w:val="0"/>
    </w:pPr>
    <w:rPr>
      <w:color w:val="FFFFFF"/>
    </w:rPr>
  </w:style>
  <w:style w:type="paragraph" w:customStyle="1" w:styleId="14">
    <w:name w:val="附录表标号"/>
    <w:basedOn w:val="1"/>
    <w:next w:val="8"/>
    <w:qFormat/>
    <w:uiPriority w:val="0"/>
    <w:pPr>
      <w:numPr>
        <w:ilvl w:val="0"/>
        <w:numId w:val="3"/>
      </w:numPr>
      <w:tabs>
        <w:tab w:val="clear" w:pos="0"/>
      </w:tabs>
      <w:spacing w:line="14" w:lineRule="exact"/>
      <w:ind w:left="811" w:hanging="448"/>
      <w:jc w:val="center"/>
      <w:outlineLvl w:val="0"/>
    </w:pPr>
    <w:rPr>
      <w:color w:val="FFFFFF"/>
    </w:rPr>
  </w:style>
  <w:style w:type="paragraph" w:customStyle="1" w:styleId="15">
    <w:name w:val="附录标识"/>
    <w:basedOn w:val="1"/>
    <w:next w:val="8"/>
    <w:qFormat/>
    <w:uiPriority w:val="0"/>
    <w:pPr>
      <w:keepNext/>
      <w:widowControl/>
      <w:numPr>
        <w:ilvl w:val="0"/>
        <w:numId w:val="4"/>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16">
    <w:name w:val="附录表标题"/>
    <w:basedOn w:val="1"/>
    <w:next w:val="8"/>
    <w:qFormat/>
    <w:uiPriority w:val="0"/>
    <w:pPr>
      <w:numPr>
        <w:ilvl w:val="1"/>
        <w:numId w:val="3"/>
      </w:numPr>
      <w:tabs>
        <w:tab w:val="left" w:pos="180"/>
      </w:tabs>
      <w:spacing w:beforeLines="50" w:afterLines="50"/>
      <w:ind w:left="0" w:firstLine="0"/>
      <w:jc w:val="center"/>
    </w:pPr>
    <w:rPr>
      <w:rFonts w:ascii="黑体" w:eastAsia="黑体"/>
      <w:szCs w:val="21"/>
    </w:rPr>
  </w:style>
  <w:style w:type="paragraph" w:customStyle="1" w:styleId="17">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18">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10</Pages>
  <Words>833</Words>
  <Characters>4751</Characters>
  <Lines>39</Lines>
  <Paragraphs>11</Paragraphs>
  <TotalTime>61</TotalTime>
  <ScaleCrop>false</ScaleCrop>
  <LinksUpToDate>false</LinksUpToDate>
  <CharactersWithSpaces>5573</CharactersWithSpaces>
  <Application>WPS Office_5.5.1.7991_F1E327BC-269C-435d-A152-05C5408002CA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2020-06-30T10:08:00Z</dcterms:created>
  <dc:creator>Administrator</dc:creator>
  <cp:lastModifiedBy>Henry Chen</cp:lastModifiedBy>
  <cp:lastPrinted>2021-03-25T20:22:00Z</cp:lastPrinted>
  <dcterms:modified xsi:type="dcterms:W3CDTF">2023-06-27T08:55:57Z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2052-5.5.1.7991</vt:lpwstr>
  </property>
  <property fmtid="{D5CDD505-2E9C-101B-9397-08002B2CF9AE}" pid="3" name="ICV">
    <vt:lpwstr>4E48AC51C53AFC279D339A64264BE877_43</vt:lpwstr>
  </property>
  <property fmtid="{D5CDD505-2E9C-101B-9397-08002B2CF9AE}" pid="4" name="KSOSaveFontToCloudKey">
    <vt:lpwstr>19478407_cloud</vt:lpwstr>
  </property>
</Properties>
</file>